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491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B43C3B"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2C0CF5">
        <w:rPr>
          <w:rFonts w:ascii="Times New Roman" w:eastAsia="Calibri" w:hAnsi="Times New Roman" w:cs="Times New Roman"/>
          <w:sz w:val="40"/>
          <w:szCs w:val="40"/>
        </w:rPr>
        <w:t>May 13</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D9977"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99674B" w:rsidRDefault="0099674B" w:rsidP="0099674B">
      <w:pPr>
        <w:spacing w:after="0" w:line="240" w:lineRule="auto"/>
        <w:rPr>
          <w:rFonts w:ascii="Times New Roman" w:eastAsia="Calibri" w:hAnsi="Times New Roman" w:cs="Times New Roman"/>
          <w:sz w:val="32"/>
          <w:szCs w:val="32"/>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99674B" w:rsidRDefault="0099674B" w:rsidP="0099674B">
      <w:pPr>
        <w:spacing w:after="0" w:line="240" w:lineRule="auto"/>
        <w:rPr>
          <w:rFonts w:ascii="Times New Roman" w:eastAsia="Calibri" w:hAnsi="Times New Roman" w:cs="Times New Roman"/>
          <w:sz w:val="48"/>
          <w:szCs w:val="48"/>
          <w:u w:val="single"/>
        </w:rPr>
      </w:pPr>
    </w:p>
    <w:p w:rsidR="001B0BD7" w:rsidRPr="0046366A" w:rsidRDefault="001B0BD7" w:rsidP="0099674B">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3C6870" w:rsidRDefault="001B0BD7" w:rsidP="003C6870">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DA34B9" w:rsidRPr="004529EB" w:rsidRDefault="00DA34B9" w:rsidP="00DA34B9">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Murrow Park Caretaker </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1755D" w:rsidRDefault="0081755D" w:rsidP="008222EE">
      <w:pPr>
        <w:jc w:val="center"/>
        <w:rPr>
          <w:rFonts w:ascii="Times New Roman" w:hAnsi="Times New Roman" w:cs="Times New Roman"/>
          <w:b/>
          <w:sz w:val="32"/>
          <w:szCs w:val="32"/>
          <w:u w:val="single"/>
        </w:rPr>
      </w:pPr>
    </w:p>
    <w:p w:rsidR="0081755D" w:rsidRDefault="0081755D"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8222EE">
      <w:pPr>
        <w:jc w:val="center"/>
        <w:rPr>
          <w:rFonts w:ascii="Times New Roman" w:hAnsi="Times New Roman" w:cs="Times New Roman"/>
          <w:b/>
          <w:sz w:val="32"/>
          <w:szCs w:val="32"/>
          <w:u w:val="single"/>
        </w:rPr>
      </w:pPr>
    </w:p>
    <w:p w:rsidR="00A63CB8" w:rsidRDefault="00A63CB8" w:rsidP="00C856E5">
      <w:pPr>
        <w:rPr>
          <w:rFonts w:ascii="Times New Roman" w:hAnsi="Times New Roman" w:cs="Times New Roman"/>
          <w:b/>
          <w:sz w:val="32"/>
          <w:szCs w:val="32"/>
          <w:u w:val="single"/>
        </w:rPr>
      </w:pPr>
    </w:p>
    <w:p w:rsidR="00A47EE3" w:rsidRDefault="00A47EE3" w:rsidP="00A47EE3">
      <w:pPr>
        <w:rPr>
          <w:rFonts w:ascii="Times New Roman" w:hAnsi="Times New Roman" w:cs="Times New Roman"/>
          <w:b/>
          <w:sz w:val="32"/>
          <w:szCs w:val="32"/>
          <w:u w:val="single"/>
        </w:rPr>
      </w:pPr>
    </w:p>
    <w:p w:rsidR="00DB7967" w:rsidRDefault="00DB7967" w:rsidP="00A47EE3">
      <w:pPr>
        <w:jc w:val="center"/>
        <w:rPr>
          <w:rFonts w:ascii="Times New Roman" w:hAnsi="Times New Roman" w:cs="Times New Roman"/>
          <w:b/>
          <w:sz w:val="32"/>
          <w:szCs w:val="32"/>
          <w:u w:val="single"/>
        </w:rPr>
      </w:pPr>
    </w:p>
    <w:p w:rsidR="007E469B" w:rsidRDefault="008222EE" w:rsidP="00A47EE3">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t>RESOLUTION</w:t>
      </w:r>
      <w:r w:rsidR="00A63CB8">
        <w:rPr>
          <w:rFonts w:ascii="Times New Roman" w:hAnsi="Times New Roman" w:cs="Times New Roman"/>
          <w:b/>
          <w:sz w:val="32"/>
          <w:szCs w:val="32"/>
          <w:u w:val="single"/>
        </w:rPr>
        <w:t>S</w:t>
      </w:r>
    </w:p>
    <w:p w:rsidR="00A63CB8" w:rsidRDefault="00A63CB8" w:rsidP="00A63C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2026-093</w:t>
      </w:r>
    </w:p>
    <w:p w:rsidR="00A63CB8" w:rsidRPr="00B267D3" w:rsidRDefault="00A63CB8" w:rsidP="00A63CB8">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rsidR="00A63CB8" w:rsidRPr="009B3B1E" w:rsidRDefault="00A63CB8" w:rsidP="00A63CB8">
      <w:pPr>
        <w:spacing w:after="0" w:line="240" w:lineRule="auto"/>
        <w:jc w:val="center"/>
        <w:rPr>
          <w:rFonts w:ascii="Times New Roman" w:eastAsia="Calibri" w:hAnsi="Times New Roman" w:cs="Times New Roman"/>
          <w:sz w:val="24"/>
          <w:szCs w:val="24"/>
        </w:rPr>
      </w:pPr>
    </w:p>
    <w:p w:rsidR="00A63CB8" w:rsidRPr="009B3B1E" w:rsidRDefault="00A63CB8" w:rsidP="00A63CB8">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rsidR="00A63CB8" w:rsidRPr="009B3B1E" w:rsidRDefault="00A63CB8" w:rsidP="00A63CB8">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rsidR="00A63CB8" w:rsidRPr="009B3B1E" w:rsidRDefault="00A63CB8" w:rsidP="00A63CB8">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Pr>
          <w:rFonts w:ascii="Times New Roman" w:hAnsi="Times New Roman" w:cs="Times New Roman"/>
          <w:sz w:val="24"/>
          <w:szCs w:val="24"/>
        </w:rPr>
        <w:t>2026</w:t>
      </w:r>
      <w:r w:rsidR="002A04B9">
        <w:rPr>
          <w:rFonts w:ascii="Times New Roman" w:eastAsia="Calibri" w:hAnsi="Times New Roman" w:cs="Times New Roman"/>
          <w:sz w:val="24"/>
          <w:szCs w:val="24"/>
        </w:rPr>
        <w:t xml:space="preserve">0326 </w:t>
      </w:r>
      <w:r>
        <w:rPr>
          <w:rFonts w:ascii="Times New Roman" w:eastAsia="Calibri" w:hAnsi="Times New Roman" w:cs="Times New Roman"/>
          <w:sz w:val="24"/>
          <w:szCs w:val="24"/>
        </w:rPr>
        <w:t>through 2026</w:t>
      </w:r>
      <w:r w:rsidR="002A04B9">
        <w:rPr>
          <w:rFonts w:ascii="Times New Roman" w:eastAsia="Calibri" w:hAnsi="Times New Roman" w:cs="Times New Roman"/>
          <w:sz w:val="24"/>
          <w:szCs w:val="24"/>
        </w:rPr>
        <w:t>0517</w:t>
      </w:r>
      <w:r w:rsidRPr="009B3B1E">
        <w:rPr>
          <w:rFonts w:ascii="Times New Roman" w:eastAsia="Calibri" w:hAnsi="Times New Roman" w:cs="Times New Roman"/>
          <w:sz w:val="24"/>
          <w:szCs w:val="24"/>
        </w:rPr>
        <w:t>, and</w:t>
      </w:r>
    </w:p>
    <w:p w:rsidR="00A63CB8" w:rsidRDefault="00A63CB8" w:rsidP="00A63CB8">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w:t>
      </w:r>
      <w:r w:rsidRPr="003134CF">
        <w:rPr>
          <w:rFonts w:ascii="Times New Roman" w:eastAsia="Calibri" w:hAnsi="Times New Roman" w:cs="Times New Roman"/>
          <w:sz w:val="24"/>
          <w:szCs w:val="24"/>
        </w:rPr>
        <w:t>hereby authorizes payment of said vouchers for the Town of Pawling on this date in the amount of $</w:t>
      </w:r>
      <w:r w:rsidR="003134CF" w:rsidRPr="003134CF">
        <w:rPr>
          <w:rFonts w:ascii="Times New Roman" w:hAnsi="Times New Roman" w:cs="Times New Roman"/>
        </w:rPr>
        <w:t>411,883.04</w:t>
      </w:r>
      <w:r w:rsidRPr="003134CF">
        <w:rPr>
          <w:rFonts w:ascii="Times New Roman" w:hAnsi="Times New Roman" w:cs="Times New Roman"/>
        </w:rPr>
        <w:t>.</w:t>
      </w:r>
    </w:p>
    <w:p w:rsidR="001134CC" w:rsidRDefault="001134CC" w:rsidP="001134C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2026-096</w:t>
      </w:r>
    </w:p>
    <w:p w:rsidR="001134CC" w:rsidRDefault="001134CC" w:rsidP="001134CC">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Authorizing Renewal of Liability Insurance Policy </w:t>
      </w:r>
    </w:p>
    <w:p w:rsidR="001134CC" w:rsidRPr="005F546B" w:rsidRDefault="001134CC" w:rsidP="001134CC">
      <w:pPr>
        <w:spacing w:line="240" w:lineRule="auto"/>
        <w:rPr>
          <w:rFonts w:ascii="Times New Roman" w:eastAsia="Calibri" w:hAnsi="Times New Roman" w:cs="Times New Roman"/>
          <w:b/>
          <w:sz w:val="24"/>
          <w:szCs w:val="24"/>
        </w:rPr>
      </w:pPr>
      <w:r w:rsidRPr="005F546B">
        <w:rPr>
          <w:rFonts w:ascii="Times New Roman" w:hAnsi="Times New Roman" w:cs="Times New Roman"/>
          <w:sz w:val="24"/>
          <w:szCs w:val="24"/>
        </w:rPr>
        <w:t xml:space="preserve">WHEREAS, the Town’s commercial insurance policy expires in </w:t>
      </w:r>
      <w:r w:rsidRPr="00A440F6">
        <w:rPr>
          <w:rFonts w:ascii="Times New Roman" w:hAnsi="Times New Roman" w:cs="Times New Roman"/>
          <w:sz w:val="24"/>
          <w:szCs w:val="24"/>
        </w:rPr>
        <w:t>June 2026,</w:t>
      </w:r>
      <w:r w:rsidRPr="005F546B">
        <w:rPr>
          <w:rFonts w:ascii="Times New Roman" w:hAnsi="Times New Roman" w:cs="Times New Roman"/>
          <w:sz w:val="24"/>
          <w:szCs w:val="24"/>
        </w:rPr>
        <w:t xml:space="preserve"> and prior to its expiration, the Town Board requested proposals from insurance c</w:t>
      </w:r>
      <w:r w:rsidRPr="00AB735E">
        <w:rPr>
          <w:rFonts w:ascii="Times New Roman" w:hAnsi="Times New Roman" w:cs="Times New Roman"/>
          <w:sz w:val="24"/>
          <w:szCs w:val="24"/>
        </w:rPr>
        <w:t>ompan</w:t>
      </w:r>
      <w:r w:rsidRPr="005F546B">
        <w:rPr>
          <w:rFonts w:ascii="Times New Roman" w:hAnsi="Times New Roman" w:cs="Times New Roman"/>
          <w:sz w:val="24"/>
          <w:szCs w:val="24"/>
        </w:rPr>
        <w:t xml:space="preserve">ies, and </w:t>
      </w:r>
    </w:p>
    <w:p w:rsidR="001134CC" w:rsidRDefault="001134CC" w:rsidP="001134CC">
      <w:pPr>
        <w:pStyle w:val="Default"/>
      </w:pPr>
      <w:r w:rsidRPr="005F546B">
        <w:t xml:space="preserve">WHEREAS, the Town Board received one proposal in response from Emery &amp; Webb submitted by Account Executive and Branch Manager Lori Johnson and Account Manager Beth Metzler, and </w:t>
      </w:r>
    </w:p>
    <w:p w:rsidR="001134CC" w:rsidRPr="005F546B" w:rsidRDefault="001134CC" w:rsidP="001134CC">
      <w:pPr>
        <w:pStyle w:val="Default"/>
      </w:pPr>
    </w:p>
    <w:p w:rsidR="001134CC" w:rsidRDefault="001134CC" w:rsidP="001134CC">
      <w:pPr>
        <w:pStyle w:val="Default"/>
      </w:pPr>
      <w:r w:rsidRPr="005F546B">
        <w:t xml:space="preserve">WHEREAS, the Proposal details all coverages and limits for liability, property, crime, equipment, auto, public officials, law enforcement, umbrella coverages, boiler, and machinery coverage, and </w:t>
      </w:r>
    </w:p>
    <w:p w:rsidR="001134CC" w:rsidRPr="005F546B" w:rsidRDefault="001134CC" w:rsidP="001134CC">
      <w:pPr>
        <w:pStyle w:val="Default"/>
      </w:pPr>
    </w:p>
    <w:p w:rsidR="001134CC" w:rsidRDefault="001134CC" w:rsidP="001134CC">
      <w:pPr>
        <w:pStyle w:val="Default"/>
      </w:pPr>
      <w:r w:rsidRPr="005F546B">
        <w:t xml:space="preserve">WHEREAS, the following proposal was received; </w:t>
      </w:r>
    </w:p>
    <w:p w:rsidR="001134CC" w:rsidRPr="005F546B" w:rsidRDefault="001134CC" w:rsidP="001134CC">
      <w:pPr>
        <w:pStyle w:val="Default"/>
      </w:pPr>
    </w:p>
    <w:p w:rsidR="001134CC" w:rsidRDefault="001134CC" w:rsidP="001134CC">
      <w:pPr>
        <w:pStyle w:val="Default"/>
        <w:numPr>
          <w:ilvl w:val="0"/>
          <w:numId w:val="9"/>
        </w:numPr>
      </w:pPr>
      <w:r w:rsidRPr="000835D6">
        <w:t>Selective $</w:t>
      </w:r>
      <w:r>
        <w:t>167,668.24</w:t>
      </w:r>
    </w:p>
    <w:p w:rsidR="001134CC" w:rsidRPr="005F546B" w:rsidRDefault="001134CC" w:rsidP="001134CC">
      <w:pPr>
        <w:pStyle w:val="Default"/>
        <w:ind w:left="720"/>
      </w:pPr>
    </w:p>
    <w:p w:rsidR="001134CC" w:rsidRDefault="001134CC" w:rsidP="001134CC">
      <w:pPr>
        <w:pStyle w:val="Default"/>
      </w:pPr>
      <w:r w:rsidRPr="005F546B">
        <w:t xml:space="preserve">NOW THEREFORE BE IT RESOLVED, that the Town Board of the Town of Pawling approves and accepts the Proposal from Emery &amp; Webb to renew its commercial insurance policies for an annual premium cost of </w:t>
      </w:r>
      <w:r w:rsidRPr="000835D6">
        <w:t>$</w:t>
      </w:r>
      <w:r w:rsidR="00A47EE3">
        <w:t>167,668.24</w:t>
      </w:r>
      <w:r w:rsidRPr="000835D6">
        <w:t>,</w:t>
      </w:r>
      <w:r w:rsidRPr="005F546B">
        <w:t xml:space="preserve"> and </w:t>
      </w:r>
    </w:p>
    <w:p w:rsidR="001134CC" w:rsidRPr="005F546B" w:rsidRDefault="001134CC" w:rsidP="001134CC">
      <w:pPr>
        <w:pStyle w:val="Default"/>
      </w:pPr>
    </w:p>
    <w:p w:rsidR="001134CC" w:rsidRDefault="001134CC" w:rsidP="001134CC">
      <w:pPr>
        <w:spacing w:line="240" w:lineRule="auto"/>
        <w:rPr>
          <w:rFonts w:ascii="Times New Roman" w:hAnsi="Times New Roman" w:cs="Times New Roman"/>
          <w:sz w:val="24"/>
          <w:szCs w:val="24"/>
        </w:rPr>
      </w:pPr>
      <w:r w:rsidRPr="005F546B">
        <w:rPr>
          <w:rFonts w:ascii="Times New Roman" w:hAnsi="Times New Roman" w:cs="Times New Roman"/>
          <w:sz w:val="24"/>
          <w:szCs w:val="24"/>
        </w:rPr>
        <w:t>BE IT FURTHER RESOLVED, that the Town Supervisor is hereby authorized and directed to execute any and all agreements and other documents necessary to give effect to this Resolution, consistent with the terms hereof, all in form satisfactory to the Supervisor and the Town Attorney.</w:t>
      </w:r>
    </w:p>
    <w:p w:rsidR="005A4488" w:rsidRDefault="005A4488" w:rsidP="005A4488">
      <w:pPr>
        <w:autoSpaceDE w:val="0"/>
        <w:autoSpaceDN w:val="0"/>
        <w:spacing w:line="240" w:lineRule="auto"/>
        <w:rPr>
          <w:rFonts w:ascii="Calibri" w:hAnsi="Calibri"/>
          <w:b/>
        </w:rPr>
      </w:pPr>
    </w:p>
    <w:p w:rsidR="00C65D8A" w:rsidRDefault="00C65D8A" w:rsidP="005A4488">
      <w:pPr>
        <w:autoSpaceDE w:val="0"/>
        <w:autoSpaceDN w:val="0"/>
        <w:spacing w:line="240" w:lineRule="auto"/>
        <w:jc w:val="center"/>
        <w:rPr>
          <w:b/>
          <w:bCs/>
        </w:rPr>
      </w:pPr>
      <w:r>
        <w:rPr>
          <w:rFonts w:ascii="Times New Roman" w:hAnsi="Times New Roman" w:cs="Times New Roman"/>
          <w:b/>
          <w:bCs/>
          <w:sz w:val="24"/>
          <w:szCs w:val="24"/>
        </w:rPr>
        <w:lastRenderedPageBreak/>
        <w:t>RESOLUTION 2025-</w:t>
      </w:r>
      <w:r w:rsidR="005B1819">
        <w:rPr>
          <w:rFonts w:ascii="Times New Roman" w:hAnsi="Times New Roman" w:cs="Times New Roman"/>
          <w:b/>
          <w:bCs/>
          <w:sz w:val="24"/>
          <w:szCs w:val="24"/>
        </w:rPr>
        <w:t>102</w:t>
      </w:r>
    </w:p>
    <w:p w:rsidR="00C65D8A" w:rsidRDefault="00C65D8A" w:rsidP="005B1819">
      <w:pPr>
        <w:autoSpaceDE w:val="0"/>
        <w:autoSpaceDN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Appointment of Members to the Conservation Advisory Board</w:t>
      </w:r>
    </w:p>
    <w:p w:rsidR="00C65D8A" w:rsidRPr="001134CC" w:rsidRDefault="00C65D8A" w:rsidP="00C65D8A">
      <w:pPr>
        <w:autoSpaceDE w:val="0"/>
        <w:autoSpaceDN w:val="0"/>
        <w:rPr>
          <w:rFonts w:ascii="Times New Roman" w:hAnsi="Times New Roman" w:cs="Times New Roman"/>
          <w:b/>
          <w:bCs/>
          <w:sz w:val="24"/>
          <w:szCs w:val="24"/>
        </w:rPr>
      </w:pPr>
      <w:r>
        <w:rPr>
          <w:rFonts w:ascii="Times New Roman" w:hAnsi="Times New Roman" w:cs="Times New Roman"/>
          <w:sz w:val="24"/>
          <w:szCs w:val="24"/>
        </w:rPr>
        <w:t>WHEREAS, pursuant to General Municipal Law §239x, the Town is authorized to create and appoint members to a Conservation Advisory Board, which is an advisory board whose purpose it is to advise in the development, management and protection of the Town’s natural resources, and</w:t>
      </w:r>
    </w:p>
    <w:p w:rsidR="00C65D8A" w:rsidRDefault="00C65D8A" w:rsidP="00C65D8A">
      <w:pPr>
        <w:autoSpaceDE w:val="0"/>
        <w:autoSpaceDN w:val="0"/>
        <w:rPr>
          <w:rFonts w:ascii="Times New Roman" w:hAnsi="Times New Roman" w:cs="Times New Roman"/>
          <w:sz w:val="24"/>
          <w:szCs w:val="24"/>
        </w:rPr>
      </w:pPr>
      <w:r>
        <w:rPr>
          <w:rFonts w:ascii="Times New Roman" w:hAnsi="Times New Roman" w:cs="Times New Roman"/>
          <w:sz w:val="24"/>
          <w:szCs w:val="24"/>
        </w:rPr>
        <w:t>WHEREAS, the Town Board of the Town of Pawling has advertised and interviewed candidates for members of the Conservation Advisory Board, and</w:t>
      </w:r>
    </w:p>
    <w:p w:rsidR="00C65D8A" w:rsidRDefault="00C65D8A" w:rsidP="00C65D8A">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NOW THEREFORE BE IT RESOLVED, the Town Board of the Town of Pawling hereby appoints the following members for a one-year term ending on </w:t>
      </w:r>
      <w:r w:rsidR="00DB263A">
        <w:rPr>
          <w:rFonts w:ascii="Times New Roman" w:hAnsi="Times New Roman" w:cs="Times New Roman"/>
          <w:sz w:val="24"/>
          <w:szCs w:val="24"/>
        </w:rPr>
        <w:t>April 30, 2027</w:t>
      </w:r>
      <w:r>
        <w:rPr>
          <w:rFonts w:ascii="Times New Roman" w:hAnsi="Times New Roman" w:cs="Times New Roman"/>
          <w:sz w:val="24"/>
          <w:szCs w:val="24"/>
        </w:rPr>
        <w:t>, to the Conservation Advisory Board:</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Bergdall</w:t>
      </w:r>
      <w:proofErr w:type="spellEnd"/>
      <w:r>
        <w:rPr>
          <w:rFonts w:ascii="Times New Roman" w:hAnsi="Times New Roman" w:cs="Times New Roman"/>
          <w:sz w:val="24"/>
          <w:szCs w:val="24"/>
        </w:rPr>
        <w:t xml:space="preserve"> – Chairman</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Chipkin</w:t>
      </w:r>
      <w:proofErr w:type="spellEnd"/>
      <w:r>
        <w:rPr>
          <w:rFonts w:ascii="Times New Roman" w:hAnsi="Times New Roman" w:cs="Times New Roman"/>
          <w:sz w:val="24"/>
          <w:szCs w:val="24"/>
        </w:rPr>
        <w:t xml:space="preserve"> – Vice Chairman</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Rick Wilson</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Marie </w:t>
      </w:r>
      <w:proofErr w:type="spellStart"/>
      <w:r>
        <w:rPr>
          <w:rFonts w:ascii="Times New Roman" w:hAnsi="Times New Roman" w:cs="Times New Roman"/>
          <w:sz w:val="24"/>
          <w:szCs w:val="24"/>
        </w:rPr>
        <w:t>Vedder</w:t>
      </w:r>
      <w:proofErr w:type="spellEnd"/>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Deborah Stewart</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Joe Willie</w:t>
      </w:r>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Steven </w:t>
      </w:r>
      <w:proofErr w:type="spellStart"/>
      <w:r>
        <w:rPr>
          <w:rFonts w:ascii="Times New Roman" w:hAnsi="Times New Roman" w:cs="Times New Roman"/>
          <w:sz w:val="24"/>
          <w:szCs w:val="24"/>
        </w:rPr>
        <w:t>DiFalco</w:t>
      </w:r>
      <w:proofErr w:type="spellEnd"/>
    </w:p>
    <w:p w:rsid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Lou </w:t>
      </w:r>
      <w:proofErr w:type="spellStart"/>
      <w:r>
        <w:rPr>
          <w:rFonts w:ascii="Times New Roman" w:hAnsi="Times New Roman" w:cs="Times New Roman"/>
          <w:sz w:val="24"/>
          <w:szCs w:val="24"/>
        </w:rPr>
        <w:t>Tombetta</w:t>
      </w:r>
      <w:proofErr w:type="spellEnd"/>
    </w:p>
    <w:p w:rsidR="00C65D8A" w:rsidRPr="00C65D8A" w:rsidRDefault="00C65D8A" w:rsidP="00C65D8A">
      <w:pPr>
        <w:pStyle w:val="ListParagraph"/>
        <w:numPr>
          <w:ilvl w:val="0"/>
          <w:numId w:val="8"/>
        </w:numPr>
        <w:autoSpaceDE w:val="0"/>
        <w:autoSpaceDN w:val="0"/>
        <w:rPr>
          <w:rFonts w:ascii="Times New Roman" w:hAnsi="Times New Roman" w:cs="Times New Roman"/>
          <w:sz w:val="24"/>
          <w:szCs w:val="24"/>
        </w:rPr>
      </w:pPr>
      <w:r>
        <w:rPr>
          <w:rFonts w:ascii="Times New Roman" w:hAnsi="Times New Roman" w:cs="Times New Roman"/>
          <w:sz w:val="24"/>
          <w:szCs w:val="24"/>
        </w:rPr>
        <w:t>Lori Asquith</w:t>
      </w:r>
    </w:p>
    <w:p w:rsidR="00C65D8A" w:rsidRDefault="00C65D8A" w:rsidP="00C65D8A">
      <w:pPr>
        <w:autoSpaceDE w:val="0"/>
        <w:autoSpaceDN w:val="0"/>
        <w:rPr>
          <w:rFonts w:ascii="Times New Roman" w:hAnsi="Times New Roman" w:cs="Times New Roman"/>
          <w:sz w:val="24"/>
          <w:szCs w:val="24"/>
        </w:rPr>
      </w:pPr>
    </w:p>
    <w:p w:rsidR="000E7720" w:rsidRDefault="000E7720" w:rsidP="000E7720">
      <w:pPr>
        <w:jc w:val="center"/>
        <w:rPr>
          <w:rFonts w:ascii="Times New Roman" w:hAnsi="Times New Roman" w:cs="Times New Roman"/>
          <w:b/>
          <w:sz w:val="32"/>
          <w:szCs w:val="32"/>
          <w:u w:val="single"/>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676E16" w:rsidRDefault="00676E16" w:rsidP="000E7720">
      <w:pPr>
        <w:spacing w:after="0" w:line="240" w:lineRule="auto"/>
        <w:jc w:val="center"/>
        <w:rPr>
          <w:rFonts w:ascii="Times New Roman" w:eastAsia="Calibri" w:hAnsi="Times New Roman" w:cs="Times New Roman"/>
          <w:b/>
          <w:sz w:val="24"/>
          <w:szCs w:val="24"/>
        </w:rPr>
      </w:pPr>
    </w:p>
    <w:p w:rsidR="000E7720" w:rsidRDefault="000E7720" w:rsidP="000E772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RESOLUTION 2026-103</w:t>
      </w:r>
    </w:p>
    <w:p w:rsidR="00B35049" w:rsidRPr="00B35049" w:rsidRDefault="00B35049" w:rsidP="00B35049">
      <w:pPr>
        <w:pStyle w:val="NoSpacing"/>
        <w:jc w:val="center"/>
        <w:rPr>
          <w:rFonts w:ascii="Times New Roman" w:hAnsi="Times New Roman" w:cs="Times New Roman"/>
          <w:b/>
          <w:sz w:val="24"/>
          <w:szCs w:val="24"/>
        </w:rPr>
      </w:pPr>
      <w:r w:rsidRPr="00B35049">
        <w:rPr>
          <w:rFonts w:ascii="Times New Roman" w:hAnsi="Times New Roman" w:cs="Times New Roman"/>
          <w:b/>
          <w:sz w:val="24"/>
          <w:szCs w:val="24"/>
        </w:rPr>
        <w:t>Standard Work Day Reporting Resolution for</w:t>
      </w:r>
    </w:p>
    <w:p w:rsidR="00B35049" w:rsidRPr="00B35049" w:rsidRDefault="00B35049" w:rsidP="00B35049">
      <w:pPr>
        <w:pStyle w:val="NoSpacing"/>
        <w:jc w:val="center"/>
        <w:rPr>
          <w:rFonts w:ascii="Times New Roman" w:hAnsi="Times New Roman" w:cs="Times New Roman"/>
          <w:b/>
          <w:sz w:val="24"/>
          <w:szCs w:val="24"/>
        </w:rPr>
      </w:pPr>
      <w:r w:rsidRPr="00B35049">
        <w:rPr>
          <w:rFonts w:ascii="Times New Roman" w:hAnsi="Times New Roman" w:cs="Times New Roman"/>
          <w:b/>
          <w:sz w:val="24"/>
          <w:szCs w:val="24"/>
        </w:rPr>
        <w:t>Elected Appointed Officials    RS 2417-A</w:t>
      </w:r>
    </w:p>
    <w:p w:rsidR="00B35049" w:rsidRDefault="00B35049" w:rsidP="00B35049">
      <w:pPr>
        <w:pStyle w:val="NoSpacing"/>
        <w:rPr>
          <w:rFonts w:ascii="Times New Roman" w:hAnsi="Times New Roman" w:cs="Times New Roman"/>
          <w:b/>
          <w:sz w:val="28"/>
          <w:szCs w:val="28"/>
        </w:rPr>
      </w:pPr>
    </w:p>
    <w:p w:rsidR="00676E16" w:rsidRPr="00E0511F" w:rsidRDefault="00676E16" w:rsidP="00676E16">
      <w:pPr>
        <w:pStyle w:val="NoSpacing"/>
        <w:rPr>
          <w:rFonts w:ascii="Times New Roman" w:hAnsi="Times New Roman" w:cs="Times New Roman"/>
          <w:sz w:val="24"/>
          <w:szCs w:val="24"/>
        </w:rPr>
      </w:pPr>
      <w:r w:rsidRPr="00E0511F">
        <w:rPr>
          <w:rFonts w:ascii="Times New Roman" w:hAnsi="Times New Roman" w:cs="Times New Roman"/>
          <w:b/>
          <w:sz w:val="24"/>
          <w:szCs w:val="24"/>
        </w:rPr>
        <w:t>BE IT RESOLVED,</w:t>
      </w:r>
      <w:r w:rsidRPr="00E0511F">
        <w:rPr>
          <w:rFonts w:ascii="Times New Roman" w:hAnsi="Times New Roman" w:cs="Times New Roman"/>
          <w:sz w:val="24"/>
          <w:szCs w:val="24"/>
        </w:rPr>
        <w:t xml:space="preserve"> that the Town of Pawling (</w:t>
      </w:r>
      <w:r w:rsidRPr="00E0511F">
        <w:rPr>
          <w:rFonts w:ascii="Times New Roman" w:hAnsi="Times New Roman" w:cs="Times New Roman"/>
          <w:b/>
          <w:sz w:val="24"/>
          <w:szCs w:val="24"/>
        </w:rPr>
        <w:t>30350</w:t>
      </w:r>
      <w:r w:rsidRPr="00E0511F">
        <w:rPr>
          <w:rFonts w:ascii="Times New Roman" w:hAnsi="Times New Roman" w:cs="Times New Roman"/>
          <w:sz w:val="24"/>
          <w:szCs w:val="24"/>
        </w:rPr>
        <w:t>) hereby establishes the following standard work days for these titles and will report the officials to the New York State and Local Retirement System based on their record of activities:</w:t>
      </w:r>
    </w:p>
    <w:p w:rsidR="00676E16" w:rsidRPr="00897410" w:rsidRDefault="00676E16" w:rsidP="00676E16">
      <w:pPr>
        <w:pStyle w:val="NoSpacing"/>
        <w:rPr>
          <w:rFonts w:ascii="Times New Roman" w:hAnsi="Times New Roman" w:cs="Times New Roman"/>
          <w:sz w:val="16"/>
          <w:szCs w:val="16"/>
        </w:rPr>
      </w:pPr>
    </w:p>
    <w:tbl>
      <w:tblPr>
        <w:tblStyle w:val="TableGrid"/>
        <w:tblW w:w="10620" w:type="dxa"/>
        <w:tblInd w:w="-1085" w:type="dxa"/>
        <w:tblLayout w:type="fixed"/>
        <w:tblLook w:val="04A0" w:firstRow="1" w:lastRow="0" w:firstColumn="1" w:lastColumn="0" w:noHBand="0" w:noVBand="1"/>
      </w:tblPr>
      <w:tblGrid>
        <w:gridCol w:w="1890"/>
        <w:gridCol w:w="1260"/>
        <w:gridCol w:w="1530"/>
        <w:gridCol w:w="1440"/>
        <w:gridCol w:w="1350"/>
        <w:gridCol w:w="1350"/>
        <w:gridCol w:w="1800"/>
      </w:tblGrid>
      <w:tr w:rsidR="00676E16" w:rsidRPr="00466957" w:rsidTr="00AD448C">
        <w:trPr>
          <w:trHeight w:val="1790"/>
        </w:trPr>
        <w:tc>
          <w:tcPr>
            <w:tcW w:w="189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Title</w:t>
            </w:r>
          </w:p>
        </w:tc>
        <w:tc>
          <w:tcPr>
            <w:tcW w:w="126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Standard Work Day</w:t>
            </w:r>
          </w:p>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w:t>
            </w:r>
            <w:proofErr w:type="spellStart"/>
            <w:r w:rsidRPr="00466957">
              <w:rPr>
                <w:rFonts w:ascii="Times New Roman" w:hAnsi="Times New Roman" w:cs="Times New Roman"/>
                <w:b/>
                <w:sz w:val="20"/>
                <w:szCs w:val="20"/>
              </w:rPr>
              <w:t>Hrs</w:t>
            </w:r>
            <w:proofErr w:type="spellEnd"/>
            <w:r w:rsidRPr="00466957">
              <w:rPr>
                <w:rFonts w:ascii="Times New Roman" w:hAnsi="Times New Roman" w:cs="Times New Roman"/>
                <w:b/>
                <w:sz w:val="20"/>
                <w:szCs w:val="20"/>
              </w:rPr>
              <w:t>/day)</w:t>
            </w:r>
          </w:p>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 xml:space="preserve">Min. 6 </w:t>
            </w:r>
            <w:proofErr w:type="spellStart"/>
            <w:r w:rsidRPr="00466957">
              <w:rPr>
                <w:rFonts w:ascii="Times New Roman" w:hAnsi="Times New Roman" w:cs="Times New Roman"/>
                <w:b/>
                <w:sz w:val="20"/>
                <w:szCs w:val="20"/>
              </w:rPr>
              <w:t>hrs</w:t>
            </w:r>
            <w:proofErr w:type="spellEnd"/>
          </w:p>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 xml:space="preserve">Max. 8 </w:t>
            </w:r>
            <w:proofErr w:type="spellStart"/>
            <w:r w:rsidRPr="00466957">
              <w:rPr>
                <w:rFonts w:ascii="Times New Roman" w:hAnsi="Times New Roman" w:cs="Times New Roman"/>
                <w:b/>
                <w:sz w:val="20"/>
                <w:szCs w:val="20"/>
              </w:rPr>
              <w:t>hrs</w:t>
            </w:r>
            <w:proofErr w:type="spellEnd"/>
          </w:p>
        </w:tc>
        <w:tc>
          <w:tcPr>
            <w:tcW w:w="153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Name</w:t>
            </w:r>
          </w:p>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(First and Last)</w:t>
            </w:r>
          </w:p>
        </w:tc>
        <w:tc>
          <w:tcPr>
            <w:tcW w:w="144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Current Term Begin &amp; End Dates</w:t>
            </w:r>
          </w:p>
        </w:tc>
        <w:tc>
          <w:tcPr>
            <w:tcW w:w="135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Record of Activities Result</w:t>
            </w:r>
          </w:p>
        </w:tc>
        <w:tc>
          <w:tcPr>
            <w:tcW w:w="135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Pay Frequency</w:t>
            </w:r>
          </w:p>
        </w:tc>
        <w:tc>
          <w:tcPr>
            <w:tcW w:w="1800" w:type="dxa"/>
          </w:tcPr>
          <w:p w:rsidR="00676E16" w:rsidRPr="00466957" w:rsidRDefault="00676E16" w:rsidP="00AD448C">
            <w:pPr>
              <w:pStyle w:val="NoSpacing"/>
              <w:jc w:val="center"/>
              <w:rPr>
                <w:rFonts w:ascii="Times New Roman" w:hAnsi="Times New Roman" w:cs="Times New Roman"/>
                <w:b/>
                <w:sz w:val="20"/>
                <w:szCs w:val="20"/>
              </w:rPr>
            </w:pPr>
            <w:r w:rsidRPr="00466957">
              <w:rPr>
                <w:rFonts w:ascii="Times New Roman" w:hAnsi="Times New Roman" w:cs="Times New Roman"/>
                <w:b/>
                <w:sz w:val="20"/>
                <w:szCs w:val="20"/>
              </w:rPr>
              <w:t>Not Submitted</w:t>
            </w:r>
          </w:p>
        </w:tc>
      </w:tr>
    </w:tbl>
    <w:p w:rsidR="00676E16" w:rsidRPr="005D4927" w:rsidRDefault="00676E16" w:rsidP="00676E16">
      <w:pPr>
        <w:pStyle w:val="NoSpacing"/>
        <w:ind w:left="-1170"/>
        <w:rPr>
          <w:rFonts w:ascii="Times New Roman" w:hAnsi="Times New Roman" w:cs="Times New Roman"/>
          <w:sz w:val="24"/>
          <w:szCs w:val="24"/>
        </w:rPr>
      </w:pPr>
    </w:p>
    <w:p w:rsidR="00676E16" w:rsidRPr="005D4927" w:rsidRDefault="00676E16" w:rsidP="00676E16">
      <w:pPr>
        <w:pStyle w:val="NoSpacing"/>
        <w:ind w:left="-1170"/>
        <w:rPr>
          <w:rFonts w:ascii="Times New Roman" w:hAnsi="Times New Roman" w:cs="Times New Roman"/>
          <w:b/>
          <w:sz w:val="24"/>
          <w:szCs w:val="24"/>
        </w:rPr>
      </w:pPr>
      <w:r w:rsidRPr="005D4927">
        <w:rPr>
          <w:rFonts w:ascii="Times New Roman" w:hAnsi="Times New Roman" w:cs="Times New Roman"/>
          <w:b/>
          <w:sz w:val="24"/>
          <w:szCs w:val="24"/>
        </w:rPr>
        <w:t xml:space="preserve">   Elected Officials</w:t>
      </w:r>
    </w:p>
    <w:p w:rsidR="00676E16" w:rsidRPr="005D4927" w:rsidRDefault="00676E16" w:rsidP="00676E16">
      <w:pPr>
        <w:pStyle w:val="NoSpacing"/>
        <w:ind w:left="-1170"/>
        <w:rPr>
          <w:rFonts w:ascii="Times New Roman" w:hAnsi="Times New Roman" w:cs="Times New Roman"/>
          <w:b/>
          <w:sz w:val="24"/>
          <w:szCs w:val="24"/>
        </w:rPr>
      </w:pPr>
    </w:p>
    <w:tbl>
      <w:tblPr>
        <w:tblStyle w:val="TableGrid"/>
        <w:tblW w:w="10620" w:type="dxa"/>
        <w:tblInd w:w="-1085" w:type="dxa"/>
        <w:tblLayout w:type="fixed"/>
        <w:tblLook w:val="04A0" w:firstRow="1" w:lastRow="0" w:firstColumn="1" w:lastColumn="0" w:noHBand="0" w:noVBand="1"/>
      </w:tblPr>
      <w:tblGrid>
        <w:gridCol w:w="1890"/>
        <w:gridCol w:w="1260"/>
        <w:gridCol w:w="1440"/>
        <w:gridCol w:w="1530"/>
        <w:gridCol w:w="1260"/>
        <w:gridCol w:w="1440"/>
        <w:gridCol w:w="1800"/>
      </w:tblGrid>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Town Clerk</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Cheryl Knowles</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28.34</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Bi-weekly</w:t>
            </w:r>
          </w:p>
        </w:tc>
        <w:tc>
          <w:tcPr>
            <w:tcW w:w="1800" w:type="dxa"/>
          </w:tcPr>
          <w:p w:rsidR="00676E16" w:rsidRPr="005D4927" w:rsidRDefault="00676E16" w:rsidP="00AD448C">
            <w:pPr>
              <w:pStyle w:val="NoSpacing"/>
              <w:jc w:val="center"/>
              <w:rPr>
                <w:rFonts w:ascii="Times New Roman" w:hAnsi="Times New Roman" w:cs="Times New Roman"/>
                <w:b/>
              </w:rPr>
            </w:pPr>
          </w:p>
        </w:tc>
      </w:tr>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Town Councilwoman</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 xml:space="preserve">Corinne </w:t>
            </w:r>
            <w:proofErr w:type="spellStart"/>
            <w:r w:rsidRPr="005D4927">
              <w:rPr>
                <w:rFonts w:ascii="Times New Roman" w:hAnsi="Times New Roman" w:cs="Times New Roman"/>
              </w:rPr>
              <w:t>Musella</w:t>
            </w:r>
            <w:proofErr w:type="spellEnd"/>
            <w:r w:rsidRPr="005D4927">
              <w:rPr>
                <w:rFonts w:ascii="Times New Roman" w:hAnsi="Times New Roman" w:cs="Times New Roman"/>
              </w:rPr>
              <w:t xml:space="preserve"> Pitt</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15.40</w:t>
            </w:r>
          </w:p>
        </w:tc>
        <w:tc>
          <w:tcPr>
            <w:tcW w:w="1440" w:type="dxa"/>
          </w:tcPr>
          <w:p w:rsidR="00676E16" w:rsidRPr="005D4927" w:rsidRDefault="00676E16" w:rsidP="00AD448C">
            <w:pPr>
              <w:pStyle w:val="NoSpacing"/>
              <w:jc w:val="center"/>
              <w:rPr>
                <w:rFonts w:ascii="Times New Roman" w:hAnsi="Times New Roman" w:cs="Times New Roman"/>
                <w:b/>
              </w:rPr>
            </w:pPr>
            <w:r w:rsidRPr="005D4927">
              <w:rPr>
                <w:rFonts w:ascii="Times New Roman" w:hAnsi="Times New Roman" w:cs="Times New Roman"/>
              </w:rPr>
              <w:t>Bi-weekly</w:t>
            </w:r>
          </w:p>
        </w:tc>
        <w:tc>
          <w:tcPr>
            <w:tcW w:w="1800" w:type="dxa"/>
          </w:tcPr>
          <w:p w:rsidR="00676E16" w:rsidRPr="005D4927" w:rsidRDefault="00676E16" w:rsidP="00AD448C">
            <w:pPr>
              <w:pStyle w:val="NoSpacing"/>
              <w:jc w:val="center"/>
              <w:rPr>
                <w:rFonts w:ascii="Times New Roman" w:hAnsi="Times New Roman" w:cs="Times New Roman"/>
                <w:b/>
              </w:rPr>
            </w:pPr>
          </w:p>
        </w:tc>
      </w:tr>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Town Councilman</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James McCarthy</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10.89</w:t>
            </w:r>
          </w:p>
        </w:tc>
        <w:tc>
          <w:tcPr>
            <w:tcW w:w="1440" w:type="dxa"/>
          </w:tcPr>
          <w:p w:rsidR="00676E16" w:rsidRPr="005D4927" w:rsidRDefault="00676E16" w:rsidP="00AD448C">
            <w:pPr>
              <w:pStyle w:val="NoSpacing"/>
              <w:jc w:val="center"/>
              <w:rPr>
                <w:rFonts w:ascii="Times New Roman" w:hAnsi="Times New Roman" w:cs="Times New Roman"/>
                <w:b/>
              </w:rPr>
            </w:pPr>
            <w:r w:rsidRPr="005D4927">
              <w:rPr>
                <w:rFonts w:ascii="Times New Roman" w:hAnsi="Times New Roman" w:cs="Times New Roman"/>
              </w:rPr>
              <w:t>Bi-weekly</w:t>
            </w:r>
          </w:p>
        </w:tc>
        <w:tc>
          <w:tcPr>
            <w:tcW w:w="1800" w:type="dxa"/>
          </w:tcPr>
          <w:p w:rsidR="00676E16" w:rsidRPr="005D4927" w:rsidRDefault="00676E16" w:rsidP="00AD448C">
            <w:pPr>
              <w:pStyle w:val="NoSpacing"/>
              <w:jc w:val="center"/>
              <w:rPr>
                <w:rFonts w:ascii="Times New Roman" w:hAnsi="Times New Roman" w:cs="Times New Roman"/>
                <w:b/>
              </w:rPr>
            </w:pPr>
          </w:p>
        </w:tc>
      </w:tr>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Highway Superintendent</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8</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Robert F. Brill</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34.20</w:t>
            </w:r>
          </w:p>
        </w:tc>
        <w:tc>
          <w:tcPr>
            <w:tcW w:w="1440" w:type="dxa"/>
          </w:tcPr>
          <w:p w:rsidR="00676E16" w:rsidRPr="005D4927" w:rsidRDefault="00676E16" w:rsidP="00AD448C">
            <w:pPr>
              <w:pStyle w:val="NoSpacing"/>
              <w:jc w:val="center"/>
              <w:rPr>
                <w:rFonts w:ascii="Times New Roman" w:hAnsi="Times New Roman" w:cs="Times New Roman"/>
                <w:b/>
              </w:rPr>
            </w:pPr>
            <w:r w:rsidRPr="005D4927">
              <w:rPr>
                <w:rFonts w:ascii="Times New Roman" w:hAnsi="Times New Roman" w:cs="Times New Roman"/>
              </w:rPr>
              <w:t>Bi-weekly</w:t>
            </w:r>
          </w:p>
        </w:tc>
        <w:tc>
          <w:tcPr>
            <w:tcW w:w="1800" w:type="dxa"/>
          </w:tcPr>
          <w:p w:rsidR="00676E16" w:rsidRPr="005D4927" w:rsidRDefault="00676E16" w:rsidP="00AD448C">
            <w:pPr>
              <w:pStyle w:val="NoSpacing"/>
              <w:jc w:val="center"/>
              <w:rPr>
                <w:rFonts w:ascii="Times New Roman" w:hAnsi="Times New Roman" w:cs="Times New Roman"/>
                <w:b/>
              </w:rPr>
            </w:pPr>
          </w:p>
        </w:tc>
      </w:tr>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Tax Collector</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Barbara Tyson</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26.78</w:t>
            </w:r>
          </w:p>
        </w:tc>
        <w:tc>
          <w:tcPr>
            <w:tcW w:w="1440" w:type="dxa"/>
          </w:tcPr>
          <w:p w:rsidR="00676E16" w:rsidRPr="005D4927" w:rsidRDefault="00676E16" w:rsidP="00AD448C">
            <w:pPr>
              <w:pStyle w:val="NoSpacing"/>
              <w:jc w:val="center"/>
              <w:rPr>
                <w:rFonts w:ascii="Times New Roman" w:hAnsi="Times New Roman" w:cs="Times New Roman"/>
                <w:b/>
              </w:rPr>
            </w:pPr>
            <w:r w:rsidRPr="005D4927">
              <w:rPr>
                <w:rFonts w:ascii="Times New Roman" w:hAnsi="Times New Roman" w:cs="Times New Roman"/>
              </w:rPr>
              <w:t>Bi-weekly</w:t>
            </w:r>
          </w:p>
        </w:tc>
        <w:tc>
          <w:tcPr>
            <w:tcW w:w="1800" w:type="dxa"/>
          </w:tcPr>
          <w:p w:rsidR="00676E16" w:rsidRPr="005D4927" w:rsidRDefault="00676E16" w:rsidP="00AD448C">
            <w:pPr>
              <w:pStyle w:val="NoSpacing"/>
              <w:jc w:val="center"/>
              <w:rPr>
                <w:rFonts w:ascii="Times New Roman" w:hAnsi="Times New Roman" w:cs="Times New Roman"/>
                <w:b/>
              </w:rPr>
            </w:pPr>
          </w:p>
        </w:tc>
      </w:tr>
    </w:tbl>
    <w:p w:rsidR="00676E16" w:rsidRPr="00B127EC" w:rsidRDefault="00676E16" w:rsidP="00676E16">
      <w:pPr>
        <w:pStyle w:val="NoSpacing"/>
        <w:ind w:left="-1170"/>
        <w:rPr>
          <w:rFonts w:ascii="Times New Roman" w:hAnsi="Times New Roman" w:cs="Times New Roman"/>
          <w:b/>
          <w:sz w:val="20"/>
          <w:szCs w:val="20"/>
        </w:rPr>
      </w:pPr>
    </w:p>
    <w:p w:rsidR="00676E16" w:rsidRPr="005D4927" w:rsidRDefault="00676E16" w:rsidP="00676E16">
      <w:pPr>
        <w:pStyle w:val="NoSpacing"/>
        <w:ind w:left="-1170"/>
        <w:rPr>
          <w:rFonts w:ascii="Times New Roman" w:hAnsi="Times New Roman" w:cs="Times New Roman"/>
          <w:b/>
          <w:sz w:val="24"/>
          <w:szCs w:val="24"/>
        </w:rPr>
      </w:pPr>
      <w:r w:rsidRPr="005D4927">
        <w:rPr>
          <w:rFonts w:ascii="Times New Roman" w:hAnsi="Times New Roman" w:cs="Times New Roman"/>
          <w:b/>
          <w:sz w:val="24"/>
          <w:szCs w:val="24"/>
        </w:rPr>
        <w:t xml:space="preserve">  Appointed Officials</w:t>
      </w:r>
    </w:p>
    <w:p w:rsidR="00676E16" w:rsidRPr="005D4927" w:rsidRDefault="00676E16" w:rsidP="00676E16">
      <w:pPr>
        <w:pStyle w:val="NoSpacing"/>
        <w:ind w:left="-1170"/>
        <w:rPr>
          <w:rFonts w:ascii="Times New Roman" w:hAnsi="Times New Roman" w:cs="Times New Roman"/>
          <w:b/>
          <w:sz w:val="24"/>
          <w:szCs w:val="24"/>
        </w:rPr>
      </w:pPr>
    </w:p>
    <w:tbl>
      <w:tblPr>
        <w:tblStyle w:val="TableGrid"/>
        <w:tblW w:w="10710" w:type="dxa"/>
        <w:tblInd w:w="-1085" w:type="dxa"/>
        <w:tblLayout w:type="fixed"/>
        <w:tblLook w:val="04A0" w:firstRow="1" w:lastRow="0" w:firstColumn="1" w:lastColumn="0" w:noHBand="0" w:noVBand="1"/>
      </w:tblPr>
      <w:tblGrid>
        <w:gridCol w:w="1890"/>
        <w:gridCol w:w="1260"/>
        <w:gridCol w:w="1440"/>
        <w:gridCol w:w="1530"/>
        <w:gridCol w:w="1260"/>
        <w:gridCol w:w="1440"/>
        <w:gridCol w:w="1890"/>
      </w:tblGrid>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Planning Board Member</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Aaron Cioppa</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6.67</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Quarterly</w:t>
            </w:r>
          </w:p>
        </w:tc>
        <w:tc>
          <w:tcPr>
            <w:tcW w:w="1890" w:type="dxa"/>
          </w:tcPr>
          <w:p w:rsidR="00676E16" w:rsidRPr="005D4927" w:rsidRDefault="00676E16" w:rsidP="00AD448C">
            <w:pPr>
              <w:pStyle w:val="NoSpacing"/>
              <w:jc w:val="center"/>
              <w:rPr>
                <w:rFonts w:ascii="Times New Roman" w:hAnsi="Times New Roman" w:cs="Times New Roman"/>
                <w:b/>
              </w:rPr>
            </w:pPr>
          </w:p>
        </w:tc>
      </w:tr>
      <w:tr w:rsidR="00676E16" w:rsidRPr="005D4927" w:rsidTr="00AD448C">
        <w:tc>
          <w:tcPr>
            <w:tcW w:w="189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Zoning Board Member</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 xml:space="preserve">6 </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Margaux Miller</w:t>
            </w:r>
          </w:p>
        </w:tc>
        <w:tc>
          <w:tcPr>
            <w:tcW w:w="153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01/01/2026-12/31/2028</w:t>
            </w:r>
          </w:p>
        </w:tc>
        <w:tc>
          <w:tcPr>
            <w:tcW w:w="126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0.73</w:t>
            </w:r>
          </w:p>
        </w:tc>
        <w:tc>
          <w:tcPr>
            <w:tcW w:w="1440" w:type="dxa"/>
          </w:tcPr>
          <w:p w:rsidR="00676E16" w:rsidRPr="005D4927" w:rsidRDefault="00676E16" w:rsidP="00AD448C">
            <w:pPr>
              <w:pStyle w:val="NoSpacing"/>
              <w:jc w:val="center"/>
              <w:rPr>
                <w:rFonts w:ascii="Times New Roman" w:hAnsi="Times New Roman" w:cs="Times New Roman"/>
              </w:rPr>
            </w:pPr>
            <w:r w:rsidRPr="005D4927">
              <w:rPr>
                <w:rFonts w:ascii="Times New Roman" w:hAnsi="Times New Roman" w:cs="Times New Roman"/>
              </w:rPr>
              <w:t>Quarterly</w:t>
            </w:r>
          </w:p>
        </w:tc>
        <w:tc>
          <w:tcPr>
            <w:tcW w:w="1890" w:type="dxa"/>
          </w:tcPr>
          <w:p w:rsidR="00676E16" w:rsidRPr="005D4927" w:rsidRDefault="00676E16" w:rsidP="00AD448C">
            <w:pPr>
              <w:pStyle w:val="NoSpacing"/>
              <w:jc w:val="center"/>
              <w:rPr>
                <w:rFonts w:ascii="Times New Roman" w:hAnsi="Times New Roman" w:cs="Times New Roman"/>
                <w:b/>
              </w:rPr>
            </w:pPr>
          </w:p>
        </w:tc>
      </w:tr>
    </w:tbl>
    <w:p w:rsidR="00676E16" w:rsidRPr="00D2015C" w:rsidRDefault="00676E16" w:rsidP="00676E16">
      <w:pPr>
        <w:pStyle w:val="NoSpacing"/>
        <w:ind w:left="-1170"/>
        <w:rPr>
          <w:rFonts w:ascii="Times New Roman" w:hAnsi="Times New Roman" w:cs="Times New Roman"/>
          <w:sz w:val="18"/>
          <w:szCs w:val="18"/>
        </w:rPr>
      </w:pPr>
      <w:r w:rsidRPr="00D2015C">
        <w:rPr>
          <w:rFonts w:ascii="Times New Roman" w:hAnsi="Times New Roman" w:cs="Times New Roman"/>
          <w:b/>
          <w:sz w:val="18"/>
          <w:szCs w:val="18"/>
        </w:rPr>
        <w:t xml:space="preserve">   </w:t>
      </w:r>
    </w:p>
    <w:p w:rsidR="00B35049" w:rsidRPr="00D2015C" w:rsidRDefault="00B35049" w:rsidP="00B35049">
      <w:pPr>
        <w:pStyle w:val="NoSpacing"/>
        <w:ind w:left="-1170"/>
        <w:rPr>
          <w:rFonts w:ascii="Times New Roman" w:hAnsi="Times New Roman" w:cs="Times New Roman"/>
          <w:sz w:val="18"/>
          <w:szCs w:val="18"/>
        </w:rPr>
      </w:pPr>
      <w:r w:rsidRPr="00D2015C">
        <w:rPr>
          <w:rFonts w:ascii="Times New Roman" w:hAnsi="Times New Roman" w:cs="Times New Roman"/>
          <w:b/>
          <w:sz w:val="18"/>
          <w:szCs w:val="18"/>
        </w:rPr>
        <w:t xml:space="preserve">   </w:t>
      </w:r>
    </w:p>
    <w:p w:rsidR="00375DF8" w:rsidRPr="00CF034A" w:rsidRDefault="00375DF8" w:rsidP="00884FCE">
      <w:pPr>
        <w:spacing w:after="0" w:line="240" w:lineRule="auto"/>
        <w:jc w:val="center"/>
        <w:rPr>
          <w:rFonts w:ascii="Times New Roman" w:eastAsia="Calibri" w:hAnsi="Times New Roman" w:cs="Times New Roman"/>
          <w:sz w:val="24"/>
          <w:szCs w:val="24"/>
        </w:rPr>
      </w:pPr>
      <w:r w:rsidRPr="00CF034A">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104</w:t>
      </w:r>
    </w:p>
    <w:p w:rsidR="00375DF8" w:rsidRPr="00CF034A" w:rsidRDefault="00375DF8" w:rsidP="00375DF8">
      <w:pPr>
        <w:jc w:val="center"/>
        <w:rPr>
          <w:rFonts w:ascii="Times New Roman" w:hAnsi="Times New Roman" w:cs="Times New Roman"/>
          <w:b/>
          <w:sz w:val="24"/>
          <w:szCs w:val="24"/>
        </w:rPr>
      </w:pPr>
      <w:r w:rsidRPr="00CF034A">
        <w:rPr>
          <w:rFonts w:ascii="Times New Roman" w:hAnsi="Times New Roman" w:cs="Times New Roman"/>
          <w:b/>
          <w:sz w:val="24"/>
          <w:szCs w:val="24"/>
        </w:rPr>
        <w:t>Facilities Use Request</w:t>
      </w:r>
    </w:p>
    <w:p w:rsidR="00375DF8" w:rsidRPr="00CF034A" w:rsidRDefault="00375DF8" w:rsidP="00375DF8">
      <w:pPr>
        <w:pStyle w:val="Default"/>
      </w:pPr>
      <w:r w:rsidRPr="00CF034A">
        <w:t xml:space="preserve">WHEREAS, the Town of Pawling operates facilities that from time to time will be used by the public for events other than the town’s own usage, and </w:t>
      </w:r>
    </w:p>
    <w:p w:rsidR="00375DF8" w:rsidRPr="00CF034A" w:rsidRDefault="00375DF8" w:rsidP="00375DF8">
      <w:pPr>
        <w:pStyle w:val="Default"/>
      </w:pPr>
    </w:p>
    <w:p w:rsidR="00375DF8" w:rsidRPr="00CF034A" w:rsidRDefault="00375DF8" w:rsidP="00375DF8">
      <w:pPr>
        <w:pStyle w:val="Default"/>
      </w:pPr>
      <w:r w:rsidRPr="00CF034A">
        <w:t xml:space="preserve">WHEREAS, the recreation director will periodically receive requests for special considerations once all applications and insurance requirements are met, and </w:t>
      </w:r>
    </w:p>
    <w:p w:rsidR="00375DF8" w:rsidRPr="00CF034A" w:rsidRDefault="00375DF8" w:rsidP="00375DF8">
      <w:pPr>
        <w:pStyle w:val="Default"/>
      </w:pPr>
    </w:p>
    <w:p w:rsidR="00375DF8" w:rsidRDefault="00375DF8" w:rsidP="00375DF8">
      <w:pPr>
        <w:pStyle w:val="Default"/>
      </w:pPr>
      <w:r w:rsidRPr="00CF034A">
        <w:t xml:space="preserve">WHEREAS, the town board of the Town of Pawling sets the fees for the use of facilities, and </w:t>
      </w:r>
    </w:p>
    <w:p w:rsidR="00375DF8" w:rsidRPr="00CF034A" w:rsidRDefault="00375DF8" w:rsidP="00375DF8">
      <w:pPr>
        <w:pStyle w:val="Default"/>
      </w:pPr>
    </w:p>
    <w:p w:rsidR="00375DF8" w:rsidRPr="00CF034A" w:rsidRDefault="00375DF8" w:rsidP="00375DF8">
      <w:pPr>
        <w:spacing w:after="0" w:line="240" w:lineRule="auto"/>
        <w:rPr>
          <w:rFonts w:ascii="Times New Roman" w:eastAsia="Calibri" w:hAnsi="Times New Roman" w:cs="Times New Roman"/>
          <w:sz w:val="24"/>
          <w:szCs w:val="24"/>
        </w:rPr>
      </w:pPr>
      <w:r w:rsidRPr="00CF034A">
        <w:rPr>
          <w:rFonts w:ascii="Times New Roman" w:hAnsi="Times New Roman" w:cs="Times New Roman"/>
          <w:sz w:val="24"/>
          <w:szCs w:val="24"/>
        </w:rPr>
        <w:lastRenderedPageBreak/>
        <w:t>NOW THEREFORE BE IT RESOLVED, that the following waiver(s) have been authorized by the town board:</w:t>
      </w:r>
      <w:r>
        <w:rPr>
          <w:rFonts w:ascii="Times New Roman" w:hAnsi="Times New Roman" w:cs="Times New Roman"/>
          <w:sz w:val="24"/>
          <w:szCs w:val="24"/>
        </w:rPr>
        <w:t xml:space="preserve"> Pawling Youth Hockey</w:t>
      </w:r>
      <w:r w:rsidRPr="00CF034A">
        <w:rPr>
          <w:rFonts w:ascii="Times New Roman" w:hAnsi="Times New Roman" w:cs="Times New Roman"/>
          <w:sz w:val="24"/>
          <w:szCs w:val="24"/>
        </w:rPr>
        <w:t>– Alcohol Waiver, Alcohol Control Plan.</w:t>
      </w:r>
    </w:p>
    <w:p w:rsidR="007D3E2C" w:rsidRDefault="007D3E2C" w:rsidP="007D3E2C">
      <w:pPr>
        <w:rPr>
          <w:rFonts w:ascii="Times New Roman" w:eastAsia="Calibri" w:hAnsi="Times New Roman" w:cs="Times New Roman"/>
          <w:b/>
          <w:sz w:val="24"/>
          <w:szCs w:val="24"/>
        </w:rPr>
      </w:pPr>
    </w:p>
    <w:p w:rsidR="007D3E2C" w:rsidRPr="007D3E2C" w:rsidRDefault="007D3E2C" w:rsidP="007D3E2C">
      <w:pPr>
        <w:autoSpaceDE w:val="0"/>
        <w:autoSpaceDN w:val="0"/>
        <w:adjustRightInd w:val="0"/>
        <w:spacing w:after="0" w:line="240" w:lineRule="auto"/>
        <w:jc w:val="center"/>
        <w:rPr>
          <w:rFonts w:ascii="Times New Roman" w:hAnsi="Times New Roman" w:cs="Times New Roman"/>
          <w:b/>
          <w:bCs/>
          <w:color w:val="000000"/>
          <w:sz w:val="23"/>
          <w:szCs w:val="23"/>
        </w:rPr>
      </w:pPr>
      <w:r w:rsidRPr="007D3E2C">
        <w:rPr>
          <w:rFonts w:ascii="Times New Roman" w:hAnsi="Times New Roman" w:cs="Times New Roman"/>
          <w:b/>
          <w:bCs/>
          <w:color w:val="000000"/>
          <w:sz w:val="23"/>
          <w:szCs w:val="23"/>
        </w:rPr>
        <w:t>RESOLUTION 2026-105</w:t>
      </w:r>
    </w:p>
    <w:p w:rsidR="007D3E2C" w:rsidRDefault="007D3E2C" w:rsidP="007D3E2C">
      <w:pPr>
        <w:autoSpaceDE w:val="0"/>
        <w:autoSpaceDN w:val="0"/>
        <w:adjustRightInd w:val="0"/>
        <w:spacing w:after="0" w:line="240" w:lineRule="auto"/>
        <w:jc w:val="center"/>
        <w:rPr>
          <w:rFonts w:ascii="Times New Roman" w:hAnsi="Times New Roman" w:cs="Times New Roman"/>
          <w:b/>
          <w:bCs/>
          <w:color w:val="000000"/>
          <w:sz w:val="23"/>
          <w:szCs w:val="23"/>
        </w:rPr>
      </w:pPr>
      <w:r w:rsidRPr="007D3E2C">
        <w:rPr>
          <w:rFonts w:ascii="Times New Roman" w:hAnsi="Times New Roman" w:cs="Times New Roman"/>
          <w:b/>
          <w:bCs/>
          <w:color w:val="000000"/>
          <w:sz w:val="23"/>
          <w:szCs w:val="23"/>
        </w:rPr>
        <w:t>Proclaiming May as Mental Health Month</w:t>
      </w:r>
    </w:p>
    <w:p w:rsidR="007D3E2C" w:rsidRPr="007D3E2C" w:rsidRDefault="007D3E2C" w:rsidP="007D3E2C">
      <w:pPr>
        <w:autoSpaceDE w:val="0"/>
        <w:autoSpaceDN w:val="0"/>
        <w:adjustRightInd w:val="0"/>
        <w:spacing w:after="0" w:line="240" w:lineRule="auto"/>
        <w:jc w:val="center"/>
        <w:rPr>
          <w:rFonts w:ascii="Times New Roman" w:hAnsi="Times New Roman" w:cs="Times New Roman"/>
          <w:color w:val="000000"/>
          <w:sz w:val="23"/>
          <w:szCs w:val="23"/>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mental health is essential to the well-being and the vitality of our families, businesses, and communities,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mental health conditions are real and prevalent in our nation with 1 out of 5 Americans and 1 out of 6 children affected by mental illness each year,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more people die from suicide in the United States than from traffic accidents and an estimated 22 veterans die from suicide each day,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stigma and fear of discrimination keep many who would benefit from mental health services from seeking help,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with effective treatment those individuals with mental health conditions can recover and lead full, productive lives,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education, compassion, and awareness about mental illness can change negative attitudes and behaviors toward people with mental illness,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 xml:space="preserve">WHEREAS, each business, school, government agency, law enforcement agency, healthcare provider, organization and citizen share the responsibility to promote mental wellness and support prevention efforts,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7D3E2C" w:rsidRDefault="007D3E2C" w:rsidP="007D3E2C">
      <w:pPr>
        <w:autoSpaceDE w:val="0"/>
        <w:autoSpaceDN w:val="0"/>
        <w:adjustRightInd w:val="0"/>
        <w:spacing w:after="0" w:line="240" w:lineRule="auto"/>
        <w:rPr>
          <w:rFonts w:ascii="Times New Roman" w:hAnsi="Times New Roman" w:cs="Times New Roman"/>
          <w:color w:val="000000"/>
          <w:sz w:val="24"/>
          <w:szCs w:val="24"/>
        </w:rPr>
      </w:pPr>
      <w:r w:rsidRPr="007D3E2C">
        <w:rPr>
          <w:rFonts w:ascii="Times New Roman" w:hAnsi="Times New Roman" w:cs="Times New Roman"/>
          <w:color w:val="000000"/>
          <w:sz w:val="24"/>
          <w:szCs w:val="24"/>
        </w:rPr>
        <w:t>NOW THEREFORE BE IT RESOLVED, the Town Board of the Town of Pawling do hereby proclaim the month of May 202</w:t>
      </w:r>
      <w:r w:rsidR="00B84CC8">
        <w:rPr>
          <w:rFonts w:ascii="Times New Roman" w:hAnsi="Times New Roman" w:cs="Times New Roman"/>
          <w:color w:val="000000"/>
          <w:sz w:val="24"/>
          <w:szCs w:val="24"/>
        </w:rPr>
        <w:t>6</w:t>
      </w:r>
      <w:r w:rsidRPr="007D3E2C">
        <w:rPr>
          <w:rFonts w:ascii="Times New Roman" w:hAnsi="Times New Roman" w:cs="Times New Roman"/>
          <w:color w:val="000000"/>
          <w:sz w:val="24"/>
          <w:szCs w:val="24"/>
        </w:rPr>
        <w:t xml:space="preserve"> a</w:t>
      </w:r>
      <w:r w:rsidR="00B84CC8">
        <w:rPr>
          <w:rFonts w:ascii="Times New Roman" w:hAnsi="Times New Roman" w:cs="Times New Roman"/>
          <w:color w:val="000000"/>
          <w:sz w:val="24"/>
          <w:szCs w:val="24"/>
        </w:rPr>
        <w:t>s</w:t>
      </w:r>
      <w:r w:rsidRPr="007D3E2C">
        <w:rPr>
          <w:rFonts w:ascii="Times New Roman" w:hAnsi="Times New Roman" w:cs="Times New Roman"/>
          <w:color w:val="000000"/>
          <w:sz w:val="24"/>
          <w:szCs w:val="24"/>
        </w:rPr>
        <w:t xml:space="preserve"> Mental Health Awareness Month, and </w:t>
      </w:r>
    </w:p>
    <w:p w:rsidR="002E78A6" w:rsidRPr="007D3E2C" w:rsidRDefault="002E78A6" w:rsidP="007D3E2C">
      <w:pPr>
        <w:autoSpaceDE w:val="0"/>
        <w:autoSpaceDN w:val="0"/>
        <w:adjustRightInd w:val="0"/>
        <w:spacing w:after="0" w:line="240" w:lineRule="auto"/>
        <w:rPr>
          <w:rFonts w:ascii="Times New Roman" w:hAnsi="Times New Roman" w:cs="Times New Roman"/>
          <w:color w:val="000000"/>
          <w:sz w:val="24"/>
          <w:szCs w:val="24"/>
        </w:rPr>
      </w:pPr>
    </w:p>
    <w:p w:rsidR="00647F09" w:rsidRDefault="007D3E2C" w:rsidP="008C706D">
      <w:pPr>
        <w:spacing w:line="240" w:lineRule="auto"/>
        <w:rPr>
          <w:rFonts w:ascii="Times New Roman" w:eastAsia="Calibri" w:hAnsi="Times New Roman" w:cs="Times New Roman"/>
          <w:b/>
          <w:sz w:val="24"/>
          <w:szCs w:val="24"/>
        </w:rPr>
      </w:pPr>
      <w:r w:rsidRPr="007D3E2C">
        <w:rPr>
          <w:rFonts w:ascii="Times New Roman" w:hAnsi="Times New Roman" w:cs="Times New Roman"/>
          <w:color w:val="000000"/>
          <w:sz w:val="24"/>
          <w:szCs w:val="24"/>
        </w:rPr>
        <w:t>NOW THEREFORE BE IT FURTHER RESOLVED, that the Town Board of the Town of Pawling calls upon its citizens, government agencies, public and private institutions, businesses, and schools to recommit our community to increasing awareness and understanding of mental illnesses, reducing stigma, and discrimination, and promoting appropriate and accessible services for all individuals.</w:t>
      </w:r>
    </w:p>
    <w:p w:rsidR="00AE664E" w:rsidRPr="00647F09" w:rsidRDefault="00AE664E" w:rsidP="008C706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 2026-</w:t>
      </w:r>
      <w:r w:rsidR="009E7556">
        <w:rPr>
          <w:rFonts w:ascii="Times New Roman" w:eastAsia="Calibri" w:hAnsi="Times New Roman" w:cs="Times New Roman"/>
          <w:b/>
          <w:sz w:val="24"/>
          <w:szCs w:val="24"/>
        </w:rPr>
        <w:t>106</w:t>
      </w:r>
    </w:p>
    <w:p w:rsidR="009E7556" w:rsidRDefault="009E7556" w:rsidP="008C70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Lifeguards at Pawling Recreation</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WHEREAS, the position of lifeguard is an appointed position serving for a term of one season at the pleasure of the Town Board and,</w:t>
      </w:r>
    </w:p>
    <w:p w:rsidR="009E7556" w:rsidRPr="007252AE" w:rsidRDefault="007252AE" w:rsidP="007252AE">
      <w:pPr>
        <w:rPr>
          <w:rFonts w:ascii="Times New Roman" w:hAnsi="Times New Roman" w:cs="Times New Roman"/>
          <w:sz w:val="24"/>
          <w:szCs w:val="24"/>
        </w:rPr>
      </w:pPr>
      <w:r>
        <w:rPr>
          <w:rFonts w:ascii="Times New Roman" w:hAnsi="Times New Roman" w:cs="Times New Roman"/>
          <w:sz w:val="24"/>
          <w:szCs w:val="24"/>
        </w:rPr>
        <w:t>WHEREAS, the Town Board of the Town of Pawling hereby appoints the following list of lifeguards for the 2026 season:</w:t>
      </w:r>
    </w:p>
    <w:p w:rsidR="006E7EF6" w:rsidRPr="00C34D17" w:rsidRDefault="006E7EF6" w:rsidP="00AE664E">
      <w:pPr>
        <w:spacing w:after="0" w:line="240" w:lineRule="auto"/>
        <w:jc w:val="center"/>
        <w:rPr>
          <w:rFonts w:ascii="Times New Roman" w:eastAsia="Calibri" w:hAnsi="Times New Roman" w:cs="Times New Roman"/>
          <w:b/>
          <w:sz w:val="12"/>
          <w:szCs w:val="12"/>
        </w:rPr>
      </w:pPr>
    </w:p>
    <w:tbl>
      <w:tblPr>
        <w:tblW w:w="8421" w:type="dxa"/>
        <w:tblCellMar>
          <w:left w:w="0" w:type="dxa"/>
          <w:right w:w="0" w:type="dxa"/>
        </w:tblCellMar>
        <w:tblLook w:val="04A0" w:firstRow="1" w:lastRow="0" w:firstColumn="1" w:lastColumn="0" w:noHBand="0" w:noVBand="1"/>
      </w:tblPr>
      <w:tblGrid>
        <w:gridCol w:w="3000"/>
        <w:gridCol w:w="1037"/>
        <w:gridCol w:w="498"/>
        <w:gridCol w:w="498"/>
        <w:gridCol w:w="2039"/>
        <w:gridCol w:w="1349"/>
      </w:tblGrid>
      <w:tr w:rsidR="006E7EF6" w:rsidRPr="00C34D17" w:rsidTr="00C34D17">
        <w:trPr>
          <w:trHeight w:val="132"/>
        </w:trPr>
        <w:tc>
          <w:tcPr>
            <w:tcW w:w="3000" w:type="dxa"/>
            <w:tcBorders>
              <w:top w:val="single" w:sz="8" w:space="0" w:color="auto"/>
              <w:left w:val="single" w:sz="8" w:space="0" w:color="auto"/>
              <w:bottom w:val="single" w:sz="8" w:space="0" w:color="auto"/>
              <w:right w:val="single" w:sz="8" w:space="0" w:color="auto"/>
            </w:tcBorders>
            <w:shd w:val="clear" w:color="auto" w:fill="A4C2F4"/>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lastRenderedPageBreak/>
              <w:t>Lifeguards 2026 </w:t>
            </w:r>
          </w:p>
        </w:tc>
        <w:tc>
          <w:tcPr>
            <w:tcW w:w="1037"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LG 15-17</w:t>
            </w:r>
          </w:p>
        </w:tc>
        <w:tc>
          <w:tcPr>
            <w:tcW w:w="498"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s="Calibri"/>
                <w:color w:val="000000"/>
                <w:sz w:val="12"/>
                <w:szCs w:val="12"/>
              </w:rPr>
            </w:pPr>
            <w:r w:rsidRPr="00C34D17">
              <w:rPr>
                <w:rFonts w:ascii="Aptos" w:hAnsi="Aptos"/>
                <w:color w:val="000000"/>
                <w:sz w:val="12"/>
                <w:szCs w:val="12"/>
              </w:rPr>
              <w:t>Start Date</w:t>
            </w:r>
          </w:p>
        </w:tc>
        <w:tc>
          <w:tcPr>
            <w:tcW w:w="1349"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End Date</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Gavin Campbell</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Derek </w:t>
            </w:r>
            <w:proofErr w:type="spellStart"/>
            <w:r w:rsidRPr="00C34D17">
              <w:rPr>
                <w:rFonts w:ascii="Aptos" w:hAnsi="Aptos"/>
                <w:color w:val="000000"/>
                <w:sz w:val="12"/>
                <w:szCs w:val="12"/>
              </w:rPr>
              <w:t>Carrozza</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Lucas </w:t>
            </w:r>
            <w:proofErr w:type="spellStart"/>
            <w:r w:rsidRPr="00C34D17">
              <w:rPr>
                <w:rFonts w:ascii="Aptos" w:hAnsi="Aptos"/>
                <w:color w:val="000000"/>
                <w:sz w:val="12"/>
                <w:szCs w:val="12"/>
              </w:rPr>
              <w:t>Carrozza</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Avery Crandell</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Harrison Crandell</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Emma </w:t>
            </w:r>
            <w:proofErr w:type="spellStart"/>
            <w:r w:rsidRPr="00C34D17">
              <w:rPr>
                <w:rFonts w:ascii="Aptos" w:hAnsi="Aptos"/>
                <w:color w:val="000000"/>
                <w:sz w:val="12"/>
                <w:szCs w:val="12"/>
              </w:rPr>
              <w:t>Debernardi</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16.50</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Joseph </w:t>
            </w:r>
            <w:proofErr w:type="spellStart"/>
            <w:r w:rsidRPr="00C34D17">
              <w:rPr>
                <w:rFonts w:ascii="Aptos" w:hAnsi="Aptos"/>
                <w:color w:val="000000"/>
                <w:sz w:val="12"/>
                <w:szCs w:val="12"/>
              </w:rPr>
              <w:t>DelBalzo</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16.50</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Gavin Dumas</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Sam Fidler</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Juliet Furlong</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Olivia </w:t>
            </w:r>
            <w:proofErr w:type="spellStart"/>
            <w:r w:rsidRPr="00C34D17">
              <w:rPr>
                <w:rFonts w:ascii="Aptos" w:hAnsi="Aptos"/>
                <w:color w:val="000000"/>
                <w:sz w:val="12"/>
                <w:szCs w:val="12"/>
              </w:rPr>
              <w:t>Gerosa</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Jillian Hennigan</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Kate Hennigan</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16.50</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Hudson Kelley</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Bodhi </w:t>
            </w:r>
            <w:proofErr w:type="spellStart"/>
            <w:r w:rsidRPr="00C34D17">
              <w:rPr>
                <w:rFonts w:ascii="Aptos" w:hAnsi="Aptos"/>
                <w:color w:val="000000"/>
                <w:sz w:val="12"/>
                <w:szCs w:val="12"/>
              </w:rPr>
              <w:t>Krupowicz</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Izzy Papa</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Connor </w:t>
            </w:r>
            <w:proofErr w:type="spellStart"/>
            <w:r w:rsidRPr="00C34D17">
              <w:rPr>
                <w:rFonts w:ascii="Aptos" w:hAnsi="Aptos"/>
                <w:color w:val="000000"/>
                <w:sz w:val="12"/>
                <w:szCs w:val="12"/>
              </w:rPr>
              <w:t>Petruso</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16.25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 xml:space="preserve">Jackson </w:t>
            </w:r>
            <w:proofErr w:type="spellStart"/>
            <w:r w:rsidRPr="00C34D17">
              <w:rPr>
                <w:rFonts w:ascii="Aptos" w:hAnsi="Aptos"/>
                <w:color w:val="000000"/>
                <w:sz w:val="12"/>
                <w:szCs w:val="12"/>
              </w:rPr>
              <w:t>Semenza</w:t>
            </w:r>
            <w:proofErr w:type="spellEnd"/>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15.25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Lucas Walsh</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15.50</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r w:rsidR="006E7EF6" w:rsidRPr="00C34D17" w:rsidTr="00C34D17">
        <w:trPr>
          <w:trHeight w:val="123"/>
        </w:trPr>
        <w:tc>
          <w:tcPr>
            <w:tcW w:w="3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r w:rsidRPr="00C34D17">
              <w:rPr>
                <w:rFonts w:ascii="Aptos" w:hAnsi="Aptos"/>
                <w:color w:val="000000"/>
                <w:sz w:val="12"/>
                <w:szCs w:val="12"/>
              </w:rPr>
              <w:t>Elizabeth Walsh</w:t>
            </w:r>
          </w:p>
        </w:tc>
        <w:tc>
          <w:tcPr>
            <w:tcW w:w="1037"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15</w:t>
            </w: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Aptos" w:hAnsi="Aptos"/>
                <w:color w:val="000000"/>
                <w:sz w:val="12"/>
                <w:szCs w:val="12"/>
              </w:rPr>
            </w:pPr>
          </w:p>
        </w:tc>
        <w:tc>
          <w:tcPr>
            <w:tcW w:w="498"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rPr>
                <w:rFonts w:ascii="Times New Roman" w:eastAsia="Times New Roman" w:hAnsi="Times New Roman" w:cs="Times New Roman"/>
                <w:sz w:val="12"/>
                <w:szCs w:val="12"/>
              </w:rPr>
            </w:pPr>
          </w:p>
        </w:tc>
        <w:tc>
          <w:tcPr>
            <w:tcW w:w="203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s="Calibri"/>
                <w:color w:val="000000"/>
                <w:sz w:val="12"/>
                <w:szCs w:val="12"/>
              </w:rPr>
            </w:pPr>
            <w:r w:rsidRPr="00C34D17">
              <w:rPr>
                <w:rFonts w:ascii="Aptos" w:hAnsi="Aptos"/>
                <w:color w:val="000000"/>
                <w:sz w:val="12"/>
                <w:szCs w:val="12"/>
              </w:rPr>
              <w:t>5/17/2026</w:t>
            </w:r>
          </w:p>
        </w:tc>
        <w:tc>
          <w:tcPr>
            <w:tcW w:w="1349"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6E7EF6" w:rsidRPr="00C34D17" w:rsidRDefault="006E7EF6">
            <w:pPr>
              <w:jc w:val="right"/>
              <w:rPr>
                <w:rFonts w:ascii="Aptos" w:hAnsi="Aptos"/>
                <w:color w:val="000000"/>
                <w:sz w:val="12"/>
                <w:szCs w:val="12"/>
              </w:rPr>
            </w:pPr>
            <w:r w:rsidRPr="00C34D17">
              <w:rPr>
                <w:rFonts w:ascii="Aptos" w:hAnsi="Aptos"/>
                <w:color w:val="000000"/>
                <w:sz w:val="12"/>
                <w:szCs w:val="12"/>
              </w:rPr>
              <w:t>9/12/2026</w:t>
            </w:r>
          </w:p>
        </w:tc>
      </w:tr>
    </w:tbl>
    <w:p w:rsidR="00C34D17" w:rsidRDefault="00C34D17" w:rsidP="00981931">
      <w:pPr>
        <w:spacing w:after="0" w:line="240" w:lineRule="auto"/>
        <w:jc w:val="center"/>
        <w:rPr>
          <w:rFonts w:ascii="Times New Roman" w:eastAsia="Calibri" w:hAnsi="Times New Roman" w:cs="Times New Roman"/>
          <w:b/>
          <w:sz w:val="24"/>
          <w:szCs w:val="24"/>
        </w:rPr>
      </w:pP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NOW THEREFORE BE IT RESOLVED, that the below list of individuals is hereby appointed lifeguards at Pawling Recreation for the season, beginning May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2026 and ending September 12, 2026; and </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BE IT FURTHER RESOLVED, that they shall be compensated as stated in the below list and shall be covered under the Recreation Department’s 2026 budget. </w:t>
      </w:r>
    </w:p>
    <w:p w:rsidR="00C34D17" w:rsidRDefault="00C34D17" w:rsidP="00981931">
      <w:pPr>
        <w:spacing w:after="0" w:line="240" w:lineRule="auto"/>
        <w:jc w:val="center"/>
        <w:rPr>
          <w:rFonts w:ascii="Times New Roman" w:eastAsia="Calibri" w:hAnsi="Times New Roman" w:cs="Times New Roman"/>
          <w:b/>
          <w:sz w:val="24"/>
          <w:szCs w:val="24"/>
        </w:rPr>
      </w:pPr>
    </w:p>
    <w:p w:rsidR="007252AE" w:rsidRDefault="007252AE" w:rsidP="00981931">
      <w:pPr>
        <w:spacing w:after="0" w:line="240" w:lineRule="auto"/>
        <w:jc w:val="center"/>
        <w:rPr>
          <w:rFonts w:ascii="Times New Roman" w:eastAsia="Calibri" w:hAnsi="Times New Roman" w:cs="Times New Roman"/>
          <w:b/>
          <w:sz w:val="24"/>
          <w:szCs w:val="24"/>
        </w:rPr>
      </w:pPr>
    </w:p>
    <w:p w:rsidR="00D76AC1" w:rsidRDefault="00D76AC1" w:rsidP="009819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107</w:t>
      </w:r>
    </w:p>
    <w:p w:rsidR="00D76AC1" w:rsidRDefault="00D76AC1" w:rsidP="00D76AC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Camp Director at Pawling Recreation</w:t>
      </w:r>
    </w:p>
    <w:p w:rsidR="00D76AC1" w:rsidRDefault="00D76AC1" w:rsidP="00D76AC1">
      <w:pPr>
        <w:spacing w:after="0" w:line="240" w:lineRule="auto"/>
        <w:jc w:val="center"/>
        <w:rPr>
          <w:rFonts w:ascii="Times New Roman" w:eastAsia="Calibri" w:hAnsi="Times New Roman" w:cs="Times New Roman"/>
          <w:sz w:val="24"/>
          <w:szCs w:val="24"/>
        </w:rPr>
      </w:pPr>
    </w:p>
    <w:p w:rsidR="00D76AC1" w:rsidRDefault="00D76AC1" w:rsidP="00D76AC1">
      <w:pPr>
        <w:rPr>
          <w:rFonts w:ascii="Times New Roman" w:hAnsi="Times New Roman" w:cs="Times New Roman"/>
          <w:sz w:val="24"/>
          <w:szCs w:val="24"/>
        </w:rPr>
      </w:pPr>
      <w:r>
        <w:rPr>
          <w:rFonts w:ascii="Times New Roman" w:hAnsi="Times New Roman" w:cs="Times New Roman"/>
          <w:sz w:val="24"/>
          <w:szCs w:val="24"/>
        </w:rPr>
        <w:t>WHEREAS, the position of camp director is an appointed position serving for a term of one season at the pleasure of the Town Board and,</w:t>
      </w:r>
    </w:p>
    <w:p w:rsidR="00D76AC1" w:rsidRDefault="00D76AC1" w:rsidP="00D76AC1">
      <w:pPr>
        <w:rPr>
          <w:rFonts w:ascii="Times New Roman" w:hAnsi="Times New Roman" w:cs="Times New Roman"/>
          <w:sz w:val="24"/>
          <w:szCs w:val="24"/>
        </w:rPr>
      </w:pPr>
      <w:r>
        <w:rPr>
          <w:rFonts w:ascii="Times New Roman" w:hAnsi="Times New Roman" w:cs="Times New Roman"/>
          <w:sz w:val="24"/>
          <w:szCs w:val="24"/>
        </w:rPr>
        <w:t>WHEREAS, the Town Board of the Town of Pawling hereby appoints</w:t>
      </w:r>
      <w:r w:rsidR="00A24A94">
        <w:rPr>
          <w:rFonts w:ascii="Times New Roman" w:hAnsi="Times New Roman" w:cs="Times New Roman"/>
          <w:sz w:val="24"/>
          <w:szCs w:val="24"/>
        </w:rPr>
        <w:t xml:space="preserve"> Megan Gibbons</w:t>
      </w:r>
      <w:r>
        <w:rPr>
          <w:rFonts w:ascii="Times New Roman" w:hAnsi="Times New Roman" w:cs="Times New Roman"/>
          <w:sz w:val="24"/>
          <w:szCs w:val="24"/>
        </w:rPr>
        <w:t>, now, therefore, be it</w:t>
      </w:r>
    </w:p>
    <w:p w:rsidR="00D76AC1" w:rsidRDefault="00D76AC1" w:rsidP="00D76AC1">
      <w:pPr>
        <w:rPr>
          <w:rFonts w:ascii="Times New Roman" w:hAnsi="Times New Roman" w:cs="Times New Roman"/>
          <w:sz w:val="24"/>
          <w:szCs w:val="24"/>
        </w:rPr>
      </w:pPr>
      <w:r>
        <w:rPr>
          <w:rFonts w:ascii="Times New Roman" w:hAnsi="Times New Roman" w:cs="Times New Roman"/>
          <w:sz w:val="24"/>
          <w:szCs w:val="24"/>
        </w:rPr>
        <w:t xml:space="preserve">NOW THEREFORE BE IT RESOLVED, that </w:t>
      </w:r>
      <w:r w:rsidR="00A24A94">
        <w:rPr>
          <w:rFonts w:ascii="Times New Roman" w:hAnsi="Times New Roman" w:cs="Times New Roman"/>
          <w:sz w:val="24"/>
          <w:szCs w:val="24"/>
        </w:rPr>
        <w:t>Megan Gibbons</w:t>
      </w:r>
      <w:r>
        <w:rPr>
          <w:rFonts w:ascii="Times New Roman" w:hAnsi="Times New Roman" w:cs="Times New Roman"/>
          <w:sz w:val="24"/>
          <w:szCs w:val="24"/>
        </w:rPr>
        <w:t xml:space="preserve"> is hereby appointed Camp Director at Pawling Recreation for the season, beginning May 1</w:t>
      </w:r>
      <w:r w:rsidR="00A24A94">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2026; and </w:t>
      </w:r>
    </w:p>
    <w:p w:rsidR="00D76AC1" w:rsidRDefault="00D76AC1" w:rsidP="00D76AC1">
      <w:pPr>
        <w:rPr>
          <w:rFonts w:ascii="Times New Roman" w:hAnsi="Times New Roman" w:cs="Times New Roman"/>
          <w:sz w:val="24"/>
          <w:szCs w:val="24"/>
        </w:rPr>
      </w:pPr>
      <w:r>
        <w:rPr>
          <w:rFonts w:ascii="Times New Roman" w:hAnsi="Times New Roman" w:cs="Times New Roman"/>
          <w:sz w:val="24"/>
          <w:szCs w:val="24"/>
        </w:rPr>
        <w:lastRenderedPageBreak/>
        <w:t xml:space="preserve">BE IT FURTHER RESOLVED, that </w:t>
      </w:r>
      <w:r w:rsidR="00A24A94">
        <w:rPr>
          <w:rFonts w:ascii="Times New Roman" w:hAnsi="Times New Roman" w:cs="Times New Roman"/>
          <w:sz w:val="24"/>
          <w:szCs w:val="24"/>
        </w:rPr>
        <w:t>Megan Gibbons</w:t>
      </w:r>
      <w:r>
        <w:rPr>
          <w:rFonts w:ascii="Times New Roman" w:hAnsi="Times New Roman" w:cs="Times New Roman"/>
          <w:sz w:val="24"/>
          <w:szCs w:val="24"/>
        </w:rPr>
        <w:t xml:space="preserve"> compensation shall set at $</w:t>
      </w:r>
      <w:r w:rsidR="00A24A94">
        <w:rPr>
          <w:rFonts w:ascii="Times New Roman" w:hAnsi="Times New Roman" w:cs="Times New Roman"/>
          <w:sz w:val="24"/>
          <w:szCs w:val="24"/>
        </w:rPr>
        <w:t>23.00</w:t>
      </w:r>
      <w:r>
        <w:rPr>
          <w:rFonts w:ascii="Times New Roman" w:hAnsi="Times New Roman" w:cs="Times New Roman"/>
          <w:sz w:val="24"/>
          <w:szCs w:val="24"/>
        </w:rPr>
        <w:t xml:space="preserve"> per hour and shall be covered under the Recreation Department’s 2026 budget. </w:t>
      </w:r>
    </w:p>
    <w:p w:rsidR="00D76AC1" w:rsidRDefault="00D76AC1" w:rsidP="00D76AC1">
      <w:pPr>
        <w:rPr>
          <w:rFonts w:ascii="Times New Roman" w:hAnsi="Times New Roman" w:cs="Times New Roman"/>
          <w:sz w:val="24"/>
          <w:szCs w:val="24"/>
        </w:rPr>
      </w:pPr>
    </w:p>
    <w:p w:rsidR="007252AE" w:rsidRDefault="007252AE" w:rsidP="007252AE">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108</w:t>
      </w:r>
    </w:p>
    <w:p w:rsidR="007252AE" w:rsidRDefault="007252AE" w:rsidP="007252AE">
      <w:pPr>
        <w:jc w:val="center"/>
        <w:rPr>
          <w:rFonts w:ascii="Times New Roman" w:hAnsi="Times New Roman" w:cs="Times New Roman"/>
          <w:b/>
          <w:bCs/>
          <w:sz w:val="24"/>
          <w:szCs w:val="24"/>
        </w:rPr>
      </w:pPr>
      <w:r>
        <w:rPr>
          <w:rFonts w:ascii="Times New Roman" w:hAnsi="Times New Roman" w:cs="Times New Roman"/>
          <w:b/>
          <w:bCs/>
          <w:sz w:val="24"/>
          <w:szCs w:val="24"/>
        </w:rPr>
        <w:t>Accepting Donations for Pawling Recreation Department’s “Bounce into Summer” Event</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WHEREAS, the Town of Pawling Recreation Department has received the following donations in support of its annual “Bounce into Summer” event:</w:t>
      </w:r>
    </w:p>
    <w:p w:rsidR="007252AE" w:rsidRDefault="007252AE" w:rsidP="007252AE">
      <w:pPr>
        <w:pStyle w:val="ListParagraph"/>
        <w:numPr>
          <w:ilvl w:val="0"/>
          <w:numId w:val="10"/>
        </w:numPr>
        <w:spacing w:line="254" w:lineRule="auto"/>
        <w:rPr>
          <w:rFonts w:ascii="Times New Roman" w:hAnsi="Times New Roman" w:cs="Times New Roman"/>
          <w:sz w:val="24"/>
          <w:szCs w:val="24"/>
        </w:rPr>
      </w:pPr>
      <w:r>
        <w:rPr>
          <w:rFonts w:ascii="Times New Roman" w:hAnsi="Times New Roman" w:cs="Times New Roman"/>
          <w:sz w:val="24"/>
          <w:szCs w:val="24"/>
        </w:rPr>
        <w:t>$617.90 from the Pawling Community Foundation to be used for the rental of a bounce house.</w:t>
      </w:r>
    </w:p>
    <w:p w:rsidR="007252AE" w:rsidRDefault="007252AE" w:rsidP="007252AE">
      <w:pPr>
        <w:pStyle w:val="ListParagraph"/>
        <w:numPr>
          <w:ilvl w:val="0"/>
          <w:numId w:val="10"/>
        </w:numPr>
        <w:spacing w:line="254" w:lineRule="auto"/>
        <w:rPr>
          <w:rFonts w:ascii="Times New Roman" w:hAnsi="Times New Roman" w:cs="Times New Roman"/>
          <w:sz w:val="24"/>
          <w:szCs w:val="24"/>
        </w:rPr>
      </w:pPr>
      <w:r>
        <w:rPr>
          <w:rFonts w:ascii="Times New Roman" w:hAnsi="Times New Roman" w:cs="Times New Roman"/>
          <w:sz w:val="24"/>
          <w:szCs w:val="24"/>
        </w:rPr>
        <w:t>$300.00 from Durkin Water &amp; Propane to be used for the provision of food.</w:t>
      </w:r>
    </w:p>
    <w:p w:rsidR="007252AE" w:rsidRDefault="007252AE" w:rsidP="007252AE">
      <w:pPr>
        <w:pStyle w:val="ListParagraph"/>
        <w:numPr>
          <w:ilvl w:val="0"/>
          <w:numId w:val="10"/>
        </w:numPr>
        <w:spacing w:line="254" w:lineRule="auto"/>
        <w:rPr>
          <w:rFonts w:ascii="Times New Roman" w:hAnsi="Times New Roman" w:cs="Times New Roman"/>
          <w:sz w:val="24"/>
          <w:szCs w:val="24"/>
        </w:rPr>
      </w:pPr>
      <w:r>
        <w:rPr>
          <w:rFonts w:ascii="Times New Roman" w:hAnsi="Times New Roman" w:cs="Times New Roman"/>
          <w:sz w:val="24"/>
          <w:szCs w:val="24"/>
        </w:rPr>
        <w:t>$300.00 from the Pawling Soccer Club for the provision of food.</w:t>
      </w:r>
    </w:p>
    <w:p w:rsidR="007252AE" w:rsidRDefault="007252AE" w:rsidP="007252AE">
      <w:pPr>
        <w:pStyle w:val="ListParagraph"/>
        <w:numPr>
          <w:ilvl w:val="0"/>
          <w:numId w:val="10"/>
        </w:numPr>
        <w:spacing w:line="254" w:lineRule="auto"/>
        <w:rPr>
          <w:rFonts w:ascii="Times New Roman" w:hAnsi="Times New Roman" w:cs="Times New Roman"/>
          <w:sz w:val="24"/>
          <w:szCs w:val="24"/>
        </w:rPr>
      </w:pPr>
      <w:r>
        <w:rPr>
          <w:rFonts w:ascii="Times New Roman" w:hAnsi="Times New Roman" w:cs="Times New Roman"/>
          <w:sz w:val="24"/>
          <w:szCs w:val="24"/>
        </w:rPr>
        <w:t xml:space="preserve">$400.00 from Andrew House and Chris </w:t>
      </w:r>
      <w:proofErr w:type="spellStart"/>
      <w:r>
        <w:rPr>
          <w:rFonts w:ascii="Times New Roman" w:hAnsi="Times New Roman" w:cs="Times New Roman"/>
          <w:sz w:val="24"/>
          <w:szCs w:val="24"/>
        </w:rPr>
        <w:t>Rolinson</w:t>
      </w:r>
      <w:proofErr w:type="spellEnd"/>
      <w:r>
        <w:rPr>
          <w:rFonts w:ascii="Times New Roman" w:hAnsi="Times New Roman" w:cs="Times New Roman"/>
          <w:sz w:val="24"/>
          <w:szCs w:val="24"/>
        </w:rPr>
        <w:t xml:space="preserve"> to pay for a band to perform at the event.</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NOW THEREFORE BE IT RESOLVED, that the Town Board of the Town of Pawing hereby accepts the above-described donations, with gratitude, and directs that the donated funds be used for the stated purposes. </w:t>
      </w:r>
    </w:p>
    <w:p w:rsidR="007252AE" w:rsidRDefault="007252AE" w:rsidP="007252AE">
      <w:pPr>
        <w:jc w:val="center"/>
        <w:rPr>
          <w:rFonts w:ascii="Times New Roman" w:hAnsi="Times New Roman" w:cs="Times New Roman"/>
          <w:b/>
          <w:bCs/>
          <w:sz w:val="24"/>
          <w:szCs w:val="24"/>
        </w:rPr>
      </w:pPr>
      <w:r>
        <w:rPr>
          <w:rFonts w:ascii="Times New Roman" w:hAnsi="Times New Roman" w:cs="Times New Roman"/>
          <w:b/>
          <w:bCs/>
          <w:sz w:val="24"/>
          <w:szCs w:val="24"/>
        </w:rPr>
        <w:t>RESOLUTION 2026-</w:t>
      </w:r>
      <w:r>
        <w:rPr>
          <w:rFonts w:ascii="Times New Roman" w:hAnsi="Times New Roman" w:cs="Times New Roman"/>
          <w:b/>
          <w:bCs/>
          <w:sz w:val="24"/>
          <w:szCs w:val="24"/>
        </w:rPr>
        <w:t>109</w:t>
      </w:r>
    </w:p>
    <w:p w:rsidR="007252AE" w:rsidRDefault="007252AE" w:rsidP="007252AE">
      <w:pPr>
        <w:jc w:val="center"/>
        <w:rPr>
          <w:rFonts w:ascii="Times New Roman" w:hAnsi="Times New Roman" w:cs="Times New Roman"/>
          <w:b/>
          <w:bCs/>
          <w:sz w:val="24"/>
          <w:szCs w:val="24"/>
        </w:rPr>
      </w:pPr>
      <w:r>
        <w:rPr>
          <w:rFonts w:ascii="Times New Roman" w:hAnsi="Times New Roman" w:cs="Times New Roman"/>
          <w:b/>
          <w:bCs/>
          <w:sz w:val="24"/>
          <w:szCs w:val="24"/>
        </w:rPr>
        <w:t>Authorizing the Supervisor to Execute Intermunicipal Agreement for Highway Department Shared Services</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WHEREAS, Dutchess County, in conjunction with individual municipalities within the County, has proposed the creation of an Intermunicipal Agreement (IMA) to govern and permit shared services of personnel, equipment, and resources for highway and public works projects; and</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WHEREAS, the sharing of such services will </w:t>
      </w:r>
      <w:r>
        <w:rPr>
          <w:rFonts w:ascii="Times New Roman" w:hAnsi="Times New Roman" w:cs="Times New Roman"/>
          <w:sz w:val="24"/>
          <w:szCs w:val="24"/>
        </w:rPr>
        <w:t>be promoted</w:t>
      </w:r>
      <w:r>
        <w:rPr>
          <w:rFonts w:ascii="Times New Roman" w:hAnsi="Times New Roman" w:cs="Times New Roman"/>
          <w:sz w:val="24"/>
          <w:szCs w:val="24"/>
        </w:rPr>
        <w:t xml:space="preserve"> government efficiency, reduce taxpayer costs, and eliminate redundant services; and </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WHEREAS, the Town of Pawling Highway Superintendent has participated in the creation of the IMA and has recommended it approval to the Town Board. </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NOW THEREFORE BE IT RESOLVED, that the Town Board of the Town of Pawling desires to participate in the IMA for shared highway services and equipment; and </w:t>
      </w:r>
    </w:p>
    <w:p w:rsidR="007252AE" w:rsidRDefault="007252AE" w:rsidP="007252AE">
      <w:pPr>
        <w:rPr>
          <w:rFonts w:ascii="Times New Roman" w:hAnsi="Times New Roman" w:cs="Times New Roman"/>
          <w:sz w:val="24"/>
          <w:szCs w:val="24"/>
        </w:rPr>
      </w:pPr>
      <w:r>
        <w:rPr>
          <w:rFonts w:ascii="Times New Roman" w:hAnsi="Times New Roman" w:cs="Times New Roman"/>
          <w:sz w:val="24"/>
          <w:szCs w:val="24"/>
        </w:rPr>
        <w:t xml:space="preserve">BE IT FURTHER RESOLVED, that the Town Board authorizes and directs the Town Supervisor and Town Highway Superintendent to execute the IMA and any other documents needed to effectuate its purposes. </w:t>
      </w:r>
    </w:p>
    <w:p w:rsidR="008267EB" w:rsidRDefault="008267EB" w:rsidP="007252AE">
      <w:pPr>
        <w:rPr>
          <w:rFonts w:ascii="Times New Roman" w:hAnsi="Times New Roman" w:cs="Times New Roman"/>
          <w:sz w:val="24"/>
          <w:szCs w:val="24"/>
        </w:rPr>
      </w:pPr>
    </w:p>
    <w:p w:rsidR="005403D2" w:rsidRDefault="005403D2" w:rsidP="008267EB">
      <w:pPr>
        <w:jc w:val="center"/>
        <w:rPr>
          <w:rFonts w:ascii="Times New Roman" w:hAnsi="Times New Roman" w:cs="Times New Roman"/>
          <w:b/>
          <w:bCs/>
          <w:sz w:val="24"/>
          <w:szCs w:val="24"/>
        </w:rPr>
      </w:pPr>
    </w:p>
    <w:p w:rsidR="005403D2" w:rsidRDefault="005403D2"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RESOLUTION 2026-</w:t>
      </w:r>
      <w:r>
        <w:rPr>
          <w:rFonts w:ascii="Times New Roman" w:hAnsi="Times New Roman" w:cs="Times New Roman"/>
          <w:b/>
          <w:bCs/>
          <w:sz w:val="24"/>
          <w:szCs w:val="24"/>
        </w:rPr>
        <w:t>110</w:t>
      </w:r>
    </w:p>
    <w:p w:rsidR="008267EB" w:rsidRDefault="008267EB" w:rsidP="008267EB">
      <w:pPr>
        <w:jc w:val="center"/>
        <w:rPr>
          <w:rFonts w:ascii="Times New Roman" w:hAnsi="Times New Roman" w:cs="Times New Roman"/>
          <w:b/>
          <w:bCs/>
          <w:sz w:val="24"/>
          <w:szCs w:val="24"/>
        </w:rPr>
      </w:pPr>
      <w:r>
        <w:rPr>
          <w:rFonts w:ascii="Times New Roman" w:hAnsi="Times New Roman" w:cs="Times New Roman"/>
          <w:b/>
          <w:bCs/>
          <w:sz w:val="24"/>
          <w:szCs w:val="24"/>
        </w:rPr>
        <w:t>Authorizing the Building and Grounds Department to Participate in a Community Based Service Pre-</w:t>
      </w:r>
      <w:proofErr w:type="gramStart"/>
      <w:r>
        <w:rPr>
          <w:rFonts w:ascii="Times New Roman" w:hAnsi="Times New Roman" w:cs="Times New Roman"/>
          <w:b/>
          <w:bCs/>
          <w:sz w:val="24"/>
          <w:szCs w:val="24"/>
        </w:rPr>
        <w:t>vocational</w:t>
      </w:r>
      <w:proofErr w:type="gramEnd"/>
      <w:r>
        <w:rPr>
          <w:rFonts w:ascii="Times New Roman" w:hAnsi="Times New Roman" w:cs="Times New Roman"/>
          <w:b/>
          <w:bCs/>
          <w:sz w:val="24"/>
          <w:szCs w:val="24"/>
        </w:rPr>
        <w:t xml:space="preserve"> Program</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the Town of Pawling Buildings and Grounds Supervisor has been approached by Community Based Services, Inc. about facilitating or hosting a Community Based Service Pre-</w:t>
      </w:r>
      <w:proofErr w:type="gramStart"/>
      <w:r>
        <w:rPr>
          <w:rFonts w:ascii="Times New Roman" w:hAnsi="Times New Roman" w:cs="Times New Roman"/>
          <w:sz w:val="24"/>
          <w:szCs w:val="24"/>
        </w:rPr>
        <w:t>vocational</w:t>
      </w:r>
      <w:proofErr w:type="gramEnd"/>
      <w:r>
        <w:rPr>
          <w:rFonts w:ascii="Times New Roman" w:hAnsi="Times New Roman" w:cs="Times New Roman"/>
          <w:sz w:val="24"/>
          <w:szCs w:val="24"/>
        </w:rPr>
        <w:t xml:space="preserve"> Program;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the Community Based Service Pre-</w:t>
      </w:r>
      <w:proofErr w:type="gramStart"/>
      <w:r>
        <w:rPr>
          <w:rFonts w:ascii="Times New Roman" w:hAnsi="Times New Roman" w:cs="Times New Roman"/>
          <w:sz w:val="24"/>
          <w:szCs w:val="24"/>
        </w:rPr>
        <w:t>vocational</w:t>
      </w:r>
      <w:proofErr w:type="gramEnd"/>
      <w:r>
        <w:rPr>
          <w:rFonts w:ascii="Times New Roman" w:hAnsi="Times New Roman" w:cs="Times New Roman"/>
          <w:sz w:val="24"/>
          <w:szCs w:val="24"/>
        </w:rPr>
        <w:t xml:space="preserve"> Program is a not-for-profit program designed to help individuals with disabilities develop their soft skills and work-related skills so they can prepare for paid employment in the future. The program provides a curriculum-based learning experience coupled with on-site job experience to help develop their skills in different settings; and </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under the Pre-vocational Program up to two (2) participants would volunteer 1-1.5 hours per week and would be accompanied by a Job Coach from the Program;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the Town Buildings and Grounds Supervisor has stated that such volunteers would be welcome and useful for his department.</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hereby authorizes the Building and Grounds Department to host and participate in the Community Based Service Pre-</w:t>
      </w:r>
      <w:proofErr w:type="gramStart"/>
      <w:r>
        <w:rPr>
          <w:rFonts w:ascii="Times New Roman" w:hAnsi="Times New Roman" w:cs="Times New Roman"/>
          <w:sz w:val="24"/>
          <w:szCs w:val="24"/>
        </w:rPr>
        <w:t>vocational</w:t>
      </w:r>
      <w:proofErr w:type="gramEnd"/>
      <w:r>
        <w:rPr>
          <w:rFonts w:ascii="Times New Roman" w:hAnsi="Times New Roman" w:cs="Times New Roman"/>
          <w:sz w:val="24"/>
          <w:szCs w:val="24"/>
        </w:rPr>
        <w:t xml:space="preserve"> Program; and </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BE IT FURTHER RESOLVED, that this authorization shall be limited to participants who have duly executed Town of Pawling volunteer forms.</w:t>
      </w:r>
    </w:p>
    <w:p w:rsidR="008267EB" w:rsidRDefault="008267EB" w:rsidP="008267EB">
      <w:pPr>
        <w:rPr>
          <w:rFonts w:ascii="Times New Roman" w:hAnsi="Times New Roman" w:cs="Times New Roman"/>
          <w:sz w:val="24"/>
          <w:szCs w:val="24"/>
        </w:rPr>
      </w:pPr>
    </w:p>
    <w:p w:rsidR="008267EB" w:rsidRPr="008267EB" w:rsidRDefault="008267EB" w:rsidP="008267EB">
      <w:pPr>
        <w:jc w:val="center"/>
        <w:rPr>
          <w:rFonts w:ascii="Times New Roman" w:hAnsi="Times New Roman" w:cs="Times New Roman"/>
          <w:b/>
          <w:bCs/>
          <w:sz w:val="24"/>
          <w:szCs w:val="24"/>
        </w:rPr>
      </w:pPr>
      <w:r w:rsidRPr="008267EB">
        <w:rPr>
          <w:rFonts w:ascii="Times New Roman" w:hAnsi="Times New Roman" w:cs="Times New Roman"/>
          <w:b/>
          <w:sz w:val="24"/>
          <w:szCs w:val="24"/>
        </w:rPr>
        <w:t>RESOLUTION 2026 -</w:t>
      </w:r>
      <w:r>
        <w:rPr>
          <w:rFonts w:ascii="Times New Roman" w:hAnsi="Times New Roman" w:cs="Times New Roman"/>
          <w:b/>
          <w:bCs/>
          <w:sz w:val="24"/>
          <w:szCs w:val="24"/>
        </w:rPr>
        <w:t>111</w:t>
      </w:r>
      <w:r w:rsidRPr="008267EB">
        <w:rPr>
          <w:rFonts w:ascii="Times New Roman" w:hAnsi="Times New Roman" w:cs="Times New Roman"/>
          <w:b/>
          <w:bCs/>
          <w:sz w:val="24"/>
          <w:szCs w:val="24"/>
        </w:rPr>
        <w:t xml:space="preserve"> </w:t>
      </w:r>
    </w:p>
    <w:p w:rsidR="008267EB" w:rsidRDefault="008267EB" w:rsidP="008267EB">
      <w:pPr>
        <w:jc w:val="center"/>
        <w:rPr>
          <w:rFonts w:ascii="Times New Roman" w:hAnsi="Times New Roman" w:cs="Times New Roman"/>
          <w:b/>
          <w:bCs/>
          <w:sz w:val="24"/>
          <w:szCs w:val="24"/>
        </w:rPr>
      </w:pPr>
      <w:r>
        <w:rPr>
          <w:rFonts w:ascii="Times New Roman" w:hAnsi="Times New Roman" w:cs="Times New Roman"/>
          <w:b/>
          <w:bCs/>
          <w:sz w:val="24"/>
          <w:szCs w:val="24"/>
        </w:rPr>
        <w:t>Introducing a Proposed Local Law Relating to Collection of Professional Consultant Fees and Setting a Public Hearing</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the Town of Pawling Town Board hereby proposes that a Town Code local law amendment be made to Town Code Chapter 95, entitled “A Local Law Repealing and Replacing the Town of Pawling Code Chapter 95 Relating to Collection of Professional Consultant Fees;”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this Local Law is adopted and enacted pursuant to the authority and power granted by §10 of the Municipal Home Rule Law of the State of New York;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the proposed amendment is annexed hereto as Exhibit A and incorporated herein as if recited verbatim, and the Town Board does direct that said amendment be spread across the record as if it, in fact, had been read verbatim;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WHEREAS, this action to amend the Town Code is a Type II Action under the New York State Environmental Quality Review Act (SEQRA), and no further environmental review is required; and</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lastRenderedPageBreak/>
        <w:t>WHEREAS, the amendments require a public hearing.</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sets a public hearing on the proposed amendments for June</w:t>
      </w:r>
      <w:r w:rsidR="0086184A">
        <w:rPr>
          <w:rFonts w:ascii="Times New Roman" w:hAnsi="Times New Roman" w:cs="Times New Roman"/>
          <w:sz w:val="24"/>
          <w:szCs w:val="24"/>
        </w:rPr>
        <w:t xml:space="preserve"> 10th</w:t>
      </w:r>
      <w:r>
        <w:rPr>
          <w:rFonts w:ascii="Times New Roman" w:hAnsi="Times New Roman" w:cs="Times New Roman"/>
          <w:sz w:val="24"/>
          <w:szCs w:val="24"/>
        </w:rPr>
        <w:t>, 2026, at 6:00pm, or as soon thereafter as the matter may come to be heard, in the Town Hall, 160 Charles Colman Blvd, Pawling, New York</w:t>
      </w:r>
    </w:p>
    <w:p w:rsidR="008267EB" w:rsidRDefault="008267EB" w:rsidP="008267EB">
      <w:pPr>
        <w:rPr>
          <w:rFonts w:ascii="Times New Roman" w:hAnsi="Times New Roman" w:cs="Times New Roman"/>
          <w:sz w:val="24"/>
          <w:szCs w:val="24"/>
        </w:rPr>
      </w:pPr>
    </w:p>
    <w:p w:rsidR="008267EB" w:rsidRDefault="008267EB" w:rsidP="007252AE">
      <w:pPr>
        <w:rPr>
          <w:rFonts w:ascii="Times New Roman" w:hAnsi="Times New Roman" w:cs="Times New Roman"/>
          <w:sz w:val="24"/>
          <w:szCs w:val="24"/>
        </w:rPr>
      </w:pPr>
    </w:p>
    <w:p w:rsidR="00E76B1A" w:rsidRDefault="00E76B1A" w:rsidP="008E3E4E">
      <w:pPr>
        <w:spacing w:line="480" w:lineRule="auto"/>
        <w:rPr>
          <w:rFonts w:ascii="Times New Roman" w:eastAsia="Calibri" w:hAnsi="Times New Roman" w:cs="Times New Roman"/>
          <w:b/>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p>
    <w:p w:rsidR="008E3E4E" w:rsidRDefault="008E3E4E" w:rsidP="008267EB">
      <w:pPr>
        <w:jc w:val="center"/>
        <w:rPr>
          <w:rFonts w:ascii="Times New Roman" w:hAnsi="Times New Roman" w:cs="Times New Roman"/>
          <w:b/>
          <w:bCs/>
          <w:sz w:val="24"/>
          <w:szCs w:val="24"/>
        </w:rPr>
      </w:pPr>
    </w:p>
    <w:p w:rsidR="008E3E4E" w:rsidRDefault="008E3E4E" w:rsidP="008267EB">
      <w:pPr>
        <w:jc w:val="center"/>
        <w:rPr>
          <w:rFonts w:ascii="Times New Roman" w:hAnsi="Times New Roman" w:cs="Times New Roman"/>
          <w:b/>
          <w:bCs/>
          <w:sz w:val="24"/>
          <w:szCs w:val="24"/>
        </w:rPr>
      </w:pPr>
    </w:p>
    <w:p w:rsidR="008E3E4E" w:rsidRDefault="008E3E4E"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601CBA" w:rsidRDefault="00601CBA" w:rsidP="008267EB">
      <w:pPr>
        <w:jc w:val="center"/>
        <w:rPr>
          <w:rFonts w:ascii="Times New Roman" w:hAnsi="Times New Roman" w:cs="Times New Roman"/>
          <w:b/>
          <w:bCs/>
          <w:sz w:val="24"/>
          <w:szCs w:val="24"/>
        </w:rPr>
      </w:pPr>
    </w:p>
    <w:p w:rsidR="008267EB" w:rsidRDefault="008267EB" w:rsidP="008267EB">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Town of Pawling Local Law No. ___ of 2026</w:t>
      </w:r>
    </w:p>
    <w:p w:rsidR="008267EB" w:rsidRDefault="008267EB" w:rsidP="008267EB">
      <w:pPr>
        <w:jc w:val="center"/>
        <w:rPr>
          <w:rFonts w:ascii="Times New Roman" w:hAnsi="Times New Roman" w:cs="Times New Roman"/>
          <w:b/>
          <w:bCs/>
          <w:sz w:val="24"/>
          <w:szCs w:val="24"/>
        </w:rPr>
      </w:pPr>
      <w:bookmarkStart w:id="1" w:name="_Hlk156317189"/>
      <w:r>
        <w:rPr>
          <w:rFonts w:ascii="Times New Roman" w:hAnsi="Times New Roman" w:cs="Times New Roman"/>
          <w:b/>
          <w:bCs/>
          <w:sz w:val="24"/>
          <w:szCs w:val="24"/>
        </w:rPr>
        <w:t>A Local Law Repealing and Replacing the Town of Pawling Code Chapter 95 Relating to Collection of Professional Consultant Fees</w:t>
      </w:r>
    </w:p>
    <w:bookmarkEnd w:id="1"/>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BE IT ENACTED, by the Town Board of the Town of Pawling, Dutchess County, New York, as follows:</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Part 1. Title</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This Local Law shall be known as the “A Local Law Repealing and Replacing the Town of Pawling Code Chapter 95 Relating to Collection of Professional Consultant Fees.”</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Part 2. Purpose</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 xml:space="preserve">The purpose of this local law is to amend the Town of Pawling Code to amend the process for setting fee and escrow amounts for land use development approvals. </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Part 3. Enactment</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This Local Law is adopted and enacted pursuant to the authority and power granted by §10 of the Municipal Home Rule Law of the State of New York.</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Part 4. Amendment of the Town Code</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 xml:space="preserve">Chapter 95: Engineering Fees, Collection of </w:t>
      </w:r>
    </w:p>
    <w:p w:rsidR="008267EB" w:rsidRDefault="008267EB" w:rsidP="008267EB">
      <w:pPr>
        <w:rPr>
          <w:rFonts w:ascii="Times New Roman" w:hAnsi="Times New Roman" w:cs="Times New Roman"/>
          <w:sz w:val="24"/>
          <w:szCs w:val="24"/>
        </w:rPr>
      </w:pPr>
      <w:r>
        <w:rPr>
          <w:rFonts w:ascii="Times New Roman" w:hAnsi="Times New Roman" w:cs="Times New Roman"/>
          <w:i/>
          <w:iCs/>
          <w:sz w:val="24"/>
          <w:szCs w:val="24"/>
        </w:rPr>
        <w:t>Repeal in Entirety</w:t>
      </w:r>
    </w:p>
    <w:p w:rsidR="008267EB" w:rsidRDefault="008267EB" w:rsidP="008267EB">
      <w:pPr>
        <w:rPr>
          <w:rFonts w:ascii="Times New Roman" w:hAnsi="Times New Roman" w:cs="Times New Roman"/>
          <w:i/>
          <w:iCs/>
          <w:sz w:val="24"/>
          <w:szCs w:val="24"/>
        </w:rPr>
      </w:pPr>
      <w:r>
        <w:rPr>
          <w:rFonts w:ascii="Times New Roman" w:hAnsi="Times New Roman" w:cs="Times New Roman"/>
          <w:i/>
          <w:iCs/>
          <w:sz w:val="24"/>
          <w:szCs w:val="24"/>
        </w:rPr>
        <w:t>Add</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 xml:space="preserve">Chapter 95: Escrow, Consultants Fees &amp; </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§95-1 Legislative Intent.</w:t>
      </w:r>
      <w:r>
        <w:rPr>
          <w:rFonts w:ascii="Times New Roman" w:hAnsi="Times New Roman" w:cs="Times New Roman"/>
          <w:b/>
          <w:bCs/>
          <w:sz w:val="24"/>
          <w:szCs w:val="24"/>
        </w:rPr>
        <w:tab/>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powers delegated to the Town Board under Article 16 of the Town Law provides authority for making an applicant for administrative or legislative land use development approvals responsible for payment of the cost of consultants retained by the town to review the adequacy and substance of such applications. However, to the extent that the subject matter of this Article may be deemed inconsistent with the provisions of § 20, Subdivision 2, §§ 261, 274-a, 276 and 277 of the Town Law and 6 NYCRR 617.17, the Town Board finds that the subject matter is appropriate for exercise of its powers to amend and supersede provisions of the Town Law under Municipal Home Rule Law § 10, Subdivision 1(ii)d(3), and § 22, Subdivision 1. The Town Board finds that these matters are of particular local concern and are within the legislative powers vested under Municipal Home Rule Law § 10, Subdivision 1(ii)</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12) and 1(ii)a(14). To the extent that the aforesaid sections of the Town Law are deemed inconsistent with this Article, they are superseded or amended.</w:t>
      </w:r>
    </w:p>
    <w:p w:rsidR="008267EB" w:rsidRDefault="008267EB" w:rsidP="008267EB">
      <w:pPr>
        <w:rPr>
          <w:rFonts w:ascii="Times New Roman" w:hAnsi="Times New Roman" w:cs="Times New Roman"/>
          <w:sz w:val="24"/>
          <w:szCs w:val="24"/>
        </w:rPr>
      </w:pPr>
    </w:p>
    <w:p w:rsidR="008267EB" w:rsidRDefault="008267EB" w:rsidP="008267EB">
      <w:pPr>
        <w:rPr>
          <w:rFonts w:ascii="Times New Roman" w:hAnsi="Times New Roman" w:cs="Times New Roman"/>
          <w:sz w:val="24"/>
          <w:szCs w:val="24"/>
        </w:rPr>
      </w:pPr>
    </w:p>
    <w:p w:rsidR="008267EB" w:rsidRDefault="008267EB" w:rsidP="008267EB">
      <w:pPr>
        <w:rPr>
          <w:rFonts w:ascii="Times New Roman" w:hAnsi="Times New Roman" w:cs="Times New Roman"/>
          <w:sz w:val="24"/>
          <w:szCs w:val="24"/>
        </w:rPr>
      </w:pPr>
      <w:r>
        <w:rPr>
          <w:rFonts w:ascii="Times New Roman" w:hAnsi="Times New Roman" w:cs="Times New Roman"/>
          <w:b/>
          <w:bCs/>
          <w:sz w:val="24"/>
          <w:szCs w:val="24"/>
        </w:rPr>
        <w:lastRenderedPageBreak/>
        <w:t>§95-2 Imposition of Fees.</w:t>
      </w:r>
      <w:r>
        <w:rPr>
          <w:rFonts w:ascii="Times New Roman" w:hAnsi="Times New Roman" w:cs="Times New Roman"/>
          <w:sz w:val="24"/>
          <w:szCs w:val="24"/>
        </w:rPr>
        <w:tab/>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When an action that is subject to the State Environmental Quality Review Act (SEQRA) involves an application before the Town Board, the Planning Board or the Zoning Board of Appeals (hereinafter the "permitting authority"), the permitting authority may, if such permitting authority is the lead agency of the SEQRA review, establish an escrow account for expense of the review, which would be replenished from time to time to recover the actual cost to the Town or the actual cost incurred by a non-Town agency to whom the permitting authority refers the application in whole or part for preparation or reviewing the environmental assessment form (EAF), environmental impact statement (EIS), the SEQRA findings, notices and all other requirements that are incidental to the SEQRA review process. Such fees may be imposed on the applicant by the lead agency and shall not exceed the amounts allowable under 6 NYCRR 617.13(b) through (d), except for non-SEQRA-related matters as provided for herein. Such fees may be imposed on an applicant for costs incurred by the Town for environmental and planning services, professional engineering services, historic preservation services, legal services and such other professional services as, in the judgment of the lead agency, are appropriate. Any referral must be pursuant to the authorization from the permitting board upon receipt of an estimate of the consultant's fee before proceeding with any consultant's review.</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 xml:space="preserve">§95-3 Actions exempt or excluded; fee. </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 an applicant submits an application for a rezoning, site plan, subdivision, area or use variance or special use permit to the Town Board, Planning Board or the Zoning Board of Appeals for an action or approval that is exempt or excluded from SEQRA, the Town Board, the Planning Board and the Zoning Board of Appeals may require the applicant to compensate the Town for the actual cost of professional environmental, engineering, inspections, planning, historic preservation, legal and other services rendered to the permitting authority or the actual cost incurred by a non-Town agency to whom the permitting authority refers the application in whole or part prior to a final determination of the application by the permitting authority. Said fee shall be in addition to any other fees or administrative costs incurred for review by the Town of Pawling.</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§95-4 Approval of negative declaration.</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In all cases where the Town Board, the Planning Board or the Zoning Board of Appeals approves a negative declaration in connection with an action governed by SEQRA, the actual cost of professional environmental, planning, engineering, historic preservation, legal and other services provided to the permitting authority between the time of receipt of the application and the final determination on the requested action by the permitting authority or the actual cost incurred by a non-Town agency to whom the permitting authority refers the application in whole or part may be imposed on the applicant in the same manner as prescribed in § 95-3 herein. The costs to the applicant imposed under this section shall not exceed the limit set forth in 6 NYCRR 617.13(d) through (b).</w:t>
      </w:r>
    </w:p>
    <w:p w:rsidR="008267EB" w:rsidRDefault="008267EB" w:rsidP="008267EB">
      <w:pPr>
        <w:rPr>
          <w:rFonts w:ascii="Times New Roman" w:hAnsi="Times New Roman" w:cs="Times New Roman"/>
          <w:sz w:val="24"/>
          <w:szCs w:val="24"/>
        </w:rPr>
      </w:pP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lastRenderedPageBreak/>
        <w:t>§95-5 Maintenance of escrow account.</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Where the permitting authority possesses authority under SEQRA or this Article to impose costs or fees on an applicant as described in this Article and where such permitting authority determines that an applicant will be required to make payments to the town as provided in this section, such permitting authority may approve a resolution establishing the amount of money that the applicant is initially required to deliver to the Planning/Zoning Clerk for deposit in a Town of Pawling non-interest-bearing escrow account maintained by the Town of Pawling for custody of funds collected pursuant to this Article.</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§95-6 Delivery of additional funds.</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applicant may be required by the permitting authority from time to time to deliver additional funds to the Planning/Zoning Clerk for deposit in the escrow account if such additional funds are required to pay for services rendered to the town or anticipated to be rendered. If such funds are not provided by the applicant, the permitting authority may suspend its review of the application.</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§95-7 Payment required prior to final determination.</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Town Board, the Planning Board or the Zoning Board of Appeals, as applicable, shall not make any final determination in a matter pending before it until all applicable fees and reimbursable costs imposed by the permitting authority on the applicant under authority of this Article have been paid with reasonable written proof of such payment delivered to the Chairman or Secretary of the permitting authority.</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§95-8 Withdrawal of application; refunds.</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Escrow funds may be refunded to the applicant when the applicant formally withdraws the application from consideration by the permitting authority, and all actual reimbursable fees incurred by the town are first deducted from the escrow account leaving an unencumbered balance that is not required by the permitting authority to pay consulting costs attributable to the application being withdrawn or being finally acted on.</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§95-9 Fees to be additional.</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imposition of fees authorized in this action are in addition to and not in place of such other fee schedules currently in force.</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 xml:space="preserve">§95-10 </w:t>
      </w:r>
      <w:proofErr w:type="spellStart"/>
      <w:r>
        <w:rPr>
          <w:rFonts w:ascii="Times New Roman" w:hAnsi="Times New Roman" w:cs="Times New Roman"/>
          <w:b/>
          <w:bCs/>
          <w:sz w:val="24"/>
          <w:szCs w:val="24"/>
        </w:rPr>
        <w:t>Nonapplicability</w:t>
      </w:r>
      <w:proofErr w:type="spellEnd"/>
      <w:r>
        <w:rPr>
          <w:rFonts w:ascii="Times New Roman" w:hAnsi="Times New Roman" w:cs="Times New Roman"/>
          <w:b/>
          <w:bCs/>
          <w:sz w:val="24"/>
          <w:szCs w:val="24"/>
        </w:rPr>
        <w:t>.</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This Article shall not apply to area variance applications for residential uses on property entirely in a residential zone.</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§95-11 Failure to reimburse town.</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In the event of an applicant's failure to reimburse to the town funds expended to consultants as provided herein, the following remedies may apply:</w:t>
      </w:r>
    </w:p>
    <w:p w:rsidR="008267EB" w:rsidRDefault="008267EB" w:rsidP="008267EB">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town may seek recovery of billed and unpaid fees by bringing an action </w:t>
      </w:r>
      <w:proofErr w:type="spellStart"/>
      <w:r>
        <w:rPr>
          <w:rFonts w:ascii="Times New Roman" w:hAnsi="Times New Roman" w:cs="Times New Roman"/>
          <w:sz w:val="24"/>
          <w:szCs w:val="24"/>
        </w:rPr>
        <w:t>venued</w:t>
      </w:r>
      <w:proofErr w:type="spellEnd"/>
      <w:r>
        <w:rPr>
          <w:rFonts w:ascii="Times New Roman" w:hAnsi="Times New Roman" w:cs="Times New Roman"/>
          <w:sz w:val="24"/>
          <w:szCs w:val="24"/>
        </w:rPr>
        <w:t xml:space="preserve"> in a court of appropriate jurisdiction, and the applicant shall pay the town's reasonable attorney fees in prosecuting such action in addition to any judgment.</w:t>
      </w:r>
    </w:p>
    <w:p w:rsidR="008267EB" w:rsidRDefault="008267EB" w:rsidP="008267EB">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t>Alternatively, and at the sole discretion of the Town Board, an applicant's failure to reimburse the town for fees expended by the town may be collected by charging such sums against the real property that is subject to the permit application and by adding that charge to and making it a part of the next real property tax bill associated with the subject property. Such charges shall be levied and collected at the same time and in the same manner as general town taxes, and such fees shall be paid by the Receiver of Taxes to the Planning/Zoning Clerk to be applied to the escrow fund from which the costs for fees are paid. Prior to incorporating such delinquent fees into the real property tax bill, the Planning/Zoning Clerk shall send written notice to the applicant's address as contained in the permit application and to the property owner, if other than the applicant, at the owner's address of record as contained in the current assessment roll. Such written notice shall be sent by the Planning/Zoning Clerk by certified mail, return receipt requested. Such notice shall inform the owner and applicant of the delinquent amount of fees owed to the town and shall be mailed or delivered no later than 10 calendar days from the hearing date set forth in the notice unless such time period is waived by the owner-applicant, in writing. After the hearing, the Planning/Zoning Clerk shall be empowered to correct any errors in the fees owed by the owner or applicant and to extend terms of payment and adequate security of the debt and enter into a written agreement with the owner or applicant to facilitate the payment in full of the fee.</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§95-12 Determination of payment.</w:t>
      </w:r>
    </w:p>
    <w:p w:rsidR="008267EB" w:rsidRDefault="008267EB" w:rsidP="008267EB">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In the event of adoption of a local law rezoning a property by request of the owner, the Town Clerk shall determine from the Planning/Zoning Clerk if all outstanding consultant fees have been paid by the applicant prior to submitting such rezoning local law to the New York State Secretary of State. Such local law shall not be filed with the Secretary of State until such outstanding fees have been reimbursed to the town or the Planning/Zoning Clerk has entered into a written agreement with the applicant extending the time of payment of such fees.</w:t>
      </w:r>
    </w:p>
    <w:p w:rsidR="008267EB" w:rsidRDefault="008267EB" w:rsidP="008267EB">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In the event of a site plan approved by the Planning Board pursuant to §274-a of the Town Law of New York State, the Planning Board Chairman shall determine from the Planning/Zoning Clerk if all outstanding consultant fees have been paid or the Planning/Zoning Clerk has entered into a written agreement with the applicant extending the time of payment of such fees prior to affixing his or her signature to the site plan. All such outstanding consultant fees billed to the applicant during the application process shall be paid in full to the town prior to the Planning Board Chairman affixing his or her signature to the site plan.</w:t>
      </w:r>
    </w:p>
    <w:p w:rsidR="008267EB" w:rsidRDefault="008267EB" w:rsidP="008267EB">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 xml:space="preserve">In the event of a subdivision plat approved by the Planning Board pursuant to §276 of the Town Law of New York State, the Planning Board Chairman shall determine from the Planning/Zoning Clerk if all outstanding consultant fees have been paid by the applicant or the Planning/Zoning Clerk has entered into a written agreement with the applicant </w:t>
      </w:r>
      <w:r>
        <w:rPr>
          <w:rFonts w:ascii="Times New Roman" w:hAnsi="Times New Roman" w:cs="Times New Roman"/>
          <w:sz w:val="24"/>
          <w:szCs w:val="24"/>
        </w:rPr>
        <w:lastRenderedPageBreak/>
        <w:t>extending the time of payment of such fees, prior to affixing his or her signature to the final plat.</w:t>
      </w:r>
    </w:p>
    <w:p w:rsidR="008267EB" w:rsidRDefault="008267EB" w:rsidP="008267EB">
      <w:pPr>
        <w:pStyle w:val="ListParagraph"/>
        <w:rPr>
          <w:rFonts w:ascii="Times New Roman" w:hAnsi="Times New Roman" w:cs="Times New Roman"/>
          <w:sz w:val="24"/>
          <w:szCs w:val="24"/>
        </w:rPr>
      </w:pP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§95-13 Custody of escrow account records.</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Planning/Zoning Clerk shall set up escrow funds as part of a trust and agency fund item whereby consultant fees incurred by the town pursuant to this Article shall be audited and paid from such special fund and not the general fund.</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§95-14 Applicability.</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This Article shall apply to all land use permit applications pending before the Town Board, Planning Board or Zoning Board of Appeals at the time when this article is filed with the Secretary of State. All consulting fees incurred by the town thereafter shall be paid as provided herein.</w:t>
      </w:r>
    </w:p>
    <w:p w:rsidR="008267EB" w:rsidRDefault="008267EB" w:rsidP="008267EB">
      <w:pPr>
        <w:rPr>
          <w:rFonts w:ascii="Times New Roman" w:hAnsi="Times New Roman" w:cs="Times New Roman"/>
          <w:sz w:val="24"/>
          <w:szCs w:val="24"/>
        </w:rPr>
      </w:pPr>
    </w:p>
    <w:p w:rsidR="008267EB" w:rsidRDefault="008267EB" w:rsidP="008267EB">
      <w:pPr>
        <w:rPr>
          <w:rFonts w:ascii="Times New Roman" w:hAnsi="Times New Roman" w:cs="Times New Roman"/>
          <w:i/>
          <w:iCs/>
          <w:sz w:val="24"/>
          <w:szCs w:val="24"/>
        </w:rPr>
      </w:pPr>
      <w:r>
        <w:rPr>
          <w:rFonts w:ascii="Times New Roman" w:hAnsi="Times New Roman" w:cs="Times New Roman"/>
          <w:b/>
          <w:bCs/>
          <w:sz w:val="24"/>
          <w:szCs w:val="24"/>
        </w:rPr>
        <w:t>Part 5. Severability</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The invalidity of any part or provision (e.g., word, section, clause, paragraph, sentence) of this Local Law shall not affect the validity of any other part of this Law which can be given effect in the absence of the invalid part or provision.</w:t>
      </w:r>
    </w:p>
    <w:p w:rsidR="008267EB" w:rsidRDefault="008267EB" w:rsidP="008267EB">
      <w:pPr>
        <w:rPr>
          <w:rFonts w:ascii="Times New Roman" w:hAnsi="Times New Roman" w:cs="Times New Roman"/>
          <w:b/>
          <w:bCs/>
          <w:sz w:val="24"/>
          <w:szCs w:val="24"/>
        </w:rPr>
      </w:pPr>
      <w:r>
        <w:rPr>
          <w:rFonts w:ascii="Times New Roman" w:hAnsi="Times New Roman" w:cs="Times New Roman"/>
          <w:b/>
          <w:bCs/>
          <w:sz w:val="24"/>
          <w:szCs w:val="24"/>
        </w:rPr>
        <w:t>Part 6. Effective Date</w:t>
      </w:r>
    </w:p>
    <w:p w:rsidR="008267EB" w:rsidRDefault="008267EB" w:rsidP="008267EB">
      <w:pPr>
        <w:rPr>
          <w:rFonts w:ascii="Times New Roman" w:hAnsi="Times New Roman" w:cs="Times New Roman"/>
          <w:sz w:val="24"/>
          <w:szCs w:val="24"/>
        </w:rPr>
      </w:pPr>
      <w:r>
        <w:rPr>
          <w:rFonts w:ascii="Times New Roman" w:hAnsi="Times New Roman" w:cs="Times New Roman"/>
          <w:sz w:val="24"/>
          <w:szCs w:val="24"/>
        </w:rPr>
        <w:t>This Local Law shall take effect immediately upon the filing with the Office of the Secretary of State of the State of New York, in accordance with the applicable provisions of law, and specifically, Article 3, Section 27 of the New York State Municipal Home Rule Law.</w:t>
      </w:r>
    </w:p>
    <w:p w:rsidR="00924623" w:rsidRPr="00286291" w:rsidRDefault="00924623" w:rsidP="00785C0B">
      <w:pPr>
        <w:spacing w:after="0" w:line="276" w:lineRule="auto"/>
        <w:rPr>
          <w:rFonts w:ascii="Times New Roman" w:eastAsia="Calibri" w:hAnsi="Times New Roman" w:cs="Times New Roman"/>
          <w:color w:val="000000"/>
          <w:sz w:val="24"/>
          <w:szCs w:val="24"/>
        </w:rPr>
      </w:pPr>
    </w:p>
    <w:sectPr w:rsidR="00924623" w:rsidRPr="0028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7C2"/>
    <w:multiLevelType w:val="hybridMultilevel"/>
    <w:tmpl w:val="E7763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2411C"/>
    <w:multiLevelType w:val="hybridMultilevel"/>
    <w:tmpl w:val="C224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0E00D2D"/>
    <w:multiLevelType w:val="hybridMultilevel"/>
    <w:tmpl w:val="0602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C5395"/>
    <w:multiLevelType w:val="hybridMultilevel"/>
    <w:tmpl w:val="019632EC"/>
    <w:lvl w:ilvl="0" w:tplc="3AC2B5A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7904C0"/>
    <w:multiLevelType w:val="hybridMultilevel"/>
    <w:tmpl w:val="8F4CBC52"/>
    <w:lvl w:ilvl="0" w:tplc="4BB0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2323C0"/>
    <w:multiLevelType w:val="hybridMultilevel"/>
    <w:tmpl w:val="99165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FA129F"/>
    <w:multiLevelType w:val="hybridMultilevel"/>
    <w:tmpl w:val="C224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5"/>
  </w:num>
  <w:num w:numId="5">
    <w:abstractNumId w:val="8"/>
  </w:num>
  <w:num w:numId="6">
    <w:abstractNumId w:val="4"/>
  </w:num>
  <w:num w:numId="7">
    <w:abstractNumId w:val="11"/>
  </w:num>
  <w:num w:numId="8">
    <w:abstractNumId w:val="6"/>
  </w:num>
  <w:num w:numId="9">
    <w:abstractNumId w:val="2"/>
  </w:num>
  <w:num w:numId="10">
    <w:abstractNumId w:val="7"/>
    <w:lvlOverride w:ilvl="0"/>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03221"/>
    <w:rsid w:val="0002712F"/>
    <w:rsid w:val="0004277E"/>
    <w:rsid w:val="00072A4E"/>
    <w:rsid w:val="000856F6"/>
    <w:rsid w:val="00091411"/>
    <w:rsid w:val="000A6F3B"/>
    <w:rsid w:val="000A7214"/>
    <w:rsid w:val="000D4EDA"/>
    <w:rsid w:val="000D7302"/>
    <w:rsid w:val="000E3A1B"/>
    <w:rsid w:val="000E7720"/>
    <w:rsid w:val="001134CC"/>
    <w:rsid w:val="001459DE"/>
    <w:rsid w:val="00153CB0"/>
    <w:rsid w:val="00181AD9"/>
    <w:rsid w:val="00190B19"/>
    <w:rsid w:val="00194623"/>
    <w:rsid w:val="001A2066"/>
    <w:rsid w:val="001B0BD7"/>
    <w:rsid w:val="001C2F25"/>
    <w:rsid w:val="001D3724"/>
    <w:rsid w:val="001F466A"/>
    <w:rsid w:val="00204E5C"/>
    <w:rsid w:val="00227343"/>
    <w:rsid w:val="00252DB4"/>
    <w:rsid w:val="002617C3"/>
    <w:rsid w:val="00266E25"/>
    <w:rsid w:val="00273339"/>
    <w:rsid w:val="00286291"/>
    <w:rsid w:val="00291867"/>
    <w:rsid w:val="002A04B9"/>
    <w:rsid w:val="002A37B3"/>
    <w:rsid w:val="002B32D9"/>
    <w:rsid w:val="002C0CF5"/>
    <w:rsid w:val="002E78A6"/>
    <w:rsid w:val="00300E0A"/>
    <w:rsid w:val="00310645"/>
    <w:rsid w:val="003134CF"/>
    <w:rsid w:val="00317F58"/>
    <w:rsid w:val="00354059"/>
    <w:rsid w:val="00357BAD"/>
    <w:rsid w:val="00367657"/>
    <w:rsid w:val="00375DF8"/>
    <w:rsid w:val="003801F2"/>
    <w:rsid w:val="00383976"/>
    <w:rsid w:val="003A6A26"/>
    <w:rsid w:val="003B1E7D"/>
    <w:rsid w:val="003B6BBF"/>
    <w:rsid w:val="003C233F"/>
    <w:rsid w:val="003C6870"/>
    <w:rsid w:val="003C69F3"/>
    <w:rsid w:val="003C7ABB"/>
    <w:rsid w:val="00402B21"/>
    <w:rsid w:val="00425FF1"/>
    <w:rsid w:val="00426282"/>
    <w:rsid w:val="004529EB"/>
    <w:rsid w:val="004658D5"/>
    <w:rsid w:val="00480764"/>
    <w:rsid w:val="004974BF"/>
    <w:rsid w:val="004A465F"/>
    <w:rsid w:val="004D157A"/>
    <w:rsid w:val="004D7F9A"/>
    <w:rsid w:val="004F2873"/>
    <w:rsid w:val="005403D2"/>
    <w:rsid w:val="005469A7"/>
    <w:rsid w:val="00547482"/>
    <w:rsid w:val="005523EF"/>
    <w:rsid w:val="00575CC3"/>
    <w:rsid w:val="00584171"/>
    <w:rsid w:val="00597937"/>
    <w:rsid w:val="005A4488"/>
    <w:rsid w:val="005A4D3C"/>
    <w:rsid w:val="005B1819"/>
    <w:rsid w:val="005C4A50"/>
    <w:rsid w:val="005D503B"/>
    <w:rsid w:val="005D5DB5"/>
    <w:rsid w:val="00601CBA"/>
    <w:rsid w:val="006468AE"/>
    <w:rsid w:val="00646C8D"/>
    <w:rsid w:val="00647F09"/>
    <w:rsid w:val="00676E16"/>
    <w:rsid w:val="006927FA"/>
    <w:rsid w:val="006B565B"/>
    <w:rsid w:val="006B5D12"/>
    <w:rsid w:val="006E7848"/>
    <w:rsid w:val="006E7EF6"/>
    <w:rsid w:val="00704088"/>
    <w:rsid w:val="007074E3"/>
    <w:rsid w:val="00723ED9"/>
    <w:rsid w:val="007252AE"/>
    <w:rsid w:val="00725FF9"/>
    <w:rsid w:val="00735792"/>
    <w:rsid w:val="0075563F"/>
    <w:rsid w:val="00763406"/>
    <w:rsid w:val="00785C0B"/>
    <w:rsid w:val="007A431E"/>
    <w:rsid w:val="007B2258"/>
    <w:rsid w:val="007D3E2C"/>
    <w:rsid w:val="007E469B"/>
    <w:rsid w:val="0081755D"/>
    <w:rsid w:val="0082065B"/>
    <w:rsid w:val="008222EE"/>
    <w:rsid w:val="008261D9"/>
    <w:rsid w:val="00826702"/>
    <w:rsid w:val="008267EB"/>
    <w:rsid w:val="00832F67"/>
    <w:rsid w:val="00837B2D"/>
    <w:rsid w:val="00840A8C"/>
    <w:rsid w:val="00851A7D"/>
    <w:rsid w:val="008579EA"/>
    <w:rsid w:val="0086184A"/>
    <w:rsid w:val="00881604"/>
    <w:rsid w:val="00884FCE"/>
    <w:rsid w:val="008A4EC9"/>
    <w:rsid w:val="008C706D"/>
    <w:rsid w:val="008D644F"/>
    <w:rsid w:val="008E3E4E"/>
    <w:rsid w:val="00903A00"/>
    <w:rsid w:val="009078F5"/>
    <w:rsid w:val="00914DA0"/>
    <w:rsid w:val="00920182"/>
    <w:rsid w:val="00924623"/>
    <w:rsid w:val="0093133F"/>
    <w:rsid w:val="009634B5"/>
    <w:rsid w:val="00970209"/>
    <w:rsid w:val="00981931"/>
    <w:rsid w:val="0099674B"/>
    <w:rsid w:val="009A5BE6"/>
    <w:rsid w:val="009B5B24"/>
    <w:rsid w:val="009C0664"/>
    <w:rsid w:val="009D136D"/>
    <w:rsid w:val="009E7556"/>
    <w:rsid w:val="00A24A94"/>
    <w:rsid w:val="00A47EE3"/>
    <w:rsid w:val="00A63CB8"/>
    <w:rsid w:val="00A73F44"/>
    <w:rsid w:val="00AA0D92"/>
    <w:rsid w:val="00AD3729"/>
    <w:rsid w:val="00AD375C"/>
    <w:rsid w:val="00AE664E"/>
    <w:rsid w:val="00B02FA8"/>
    <w:rsid w:val="00B25F01"/>
    <w:rsid w:val="00B35049"/>
    <w:rsid w:val="00B46C8F"/>
    <w:rsid w:val="00B50C52"/>
    <w:rsid w:val="00B55223"/>
    <w:rsid w:val="00B55500"/>
    <w:rsid w:val="00B8135B"/>
    <w:rsid w:val="00B84CC8"/>
    <w:rsid w:val="00BD67D0"/>
    <w:rsid w:val="00C1012B"/>
    <w:rsid w:val="00C34D17"/>
    <w:rsid w:val="00C35B50"/>
    <w:rsid w:val="00C47B47"/>
    <w:rsid w:val="00C47E10"/>
    <w:rsid w:val="00C50048"/>
    <w:rsid w:val="00C65D8A"/>
    <w:rsid w:val="00C856E5"/>
    <w:rsid w:val="00CA0E76"/>
    <w:rsid w:val="00CA1A92"/>
    <w:rsid w:val="00CB5F43"/>
    <w:rsid w:val="00CD62F8"/>
    <w:rsid w:val="00CD76C7"/>
    <w:rsid w:val="00CE6197"/>
    <w:rsid w:val="00CF2FA4"/>
    <w:rsid w:val="00D269CD"/>
    <w:rsid w:val="00D34FFA"/>
    <w:rsid w:val="00D54042"/>
    <w:rsid w:val="00D71251"/>
    <w:rsid w:val="00D76944"/>
    <w:rsid w:val="00D76AC1"/>
    <w:rsid w:val="00DA34B9"/>
    <w:rsid w:val="00DB263A"/>
    <w:rsid w:val="00DB7967"/>
    <w:rsid w:val="00DC2DE1"/>
    <w:rsid w:val="00DD39AE"/>
    <w:rsid w:val="00E168EA"/>
    <w:rsid w:val="00E235CF"/>
    <w:rsid w:val="00E6112D"/>
    <w:rsid w:val="00E7471C"/>
    <w:rsid w:val="00E76B1A"/>
    <w:rsid w:val="00E929A9"/>
    <w:rsid w:val="00EC6393"/>
    <w:rsid w:val="00EF339E"/>
    <w:rsid w:val="00F10019"/>
    <w:rsid w:val="00F22C77"/>
    <w:rsid w:val="00F3130F"/>
    <w:rsid w:val="00F55270"/>
    <w:rsid w:val="00F6242D"/>
    <w:rsid w:val="00F74853"/>
    <w:rsid w:val="00FC3E35"/>
    <w:rsid w:val="00FC4407"/>
    <w:rsid w:val="00FD339E"/>
    <w:rsid w:val="00F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C06C20"/>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6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097202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93660335">
      <w:bodyDiv w:val="1"/>
      <w:marLeft w:val="0"/>
      <w:marRight w:val="0"/>
      <w:marTop w:val="0"/>
      <w:marBottom w:val="0"/>
      <w:divBdr>
        <w:top w:val="none" w:sz="0" w:space="0" w:color="auto"/>
        <w:left w:val="none" w:sz="0" w:space="0" w:color="auto"/>
        <w:bottom w:val="none" w:sz="0" w:space="0" w:color="auto"/>
        <w:right w:val="none" w:sz="0" w:space="0" w:color="auto"/>
      </w:divBdr>
    </w:div>
    <w:div w:id="216548537">
      <w:bodyDiv w:val="1"/>
      <w:marLeft w:val="0"/>
      <w:marRight w:val="0"/>
      <w:marTop w:val="0"/>
      <w:marBottom w:val="0"/>
      <w:divBdr>
        <w:top w:val="none" w:sz="0" w:space="0" w:color="auto"/>
        <w:left w:val="none" w:sz="0" w:space="0" w:color="auto"/>
        <w:bottom w:val="none" w:sz="0" w:space="0" w:color="auto"/>
        <w:right w:val="none" w:sz="0" w:space="0" w:color="auto"/>
      </w:divBdr>
    </w:div>
    <w:div w:id="296685235">
      <w:bodyDiv w:val="1"/>
      <w:marLeft w:val="0"/>
      <w:marRight w:val="0"/>
      <w:marTop w:val="0"/>
      <w:marBottom w:val="0"/>
      <w:divBdr>
        <w:top w:val="none" w:sz="0" w:space="0" w:color="auto"/>
        <w:left w:val="none" w:sz="0" w:space="0" w:color="auto"/>
        <w:bottom w:val="none" w:sz="0" w:space="0" w:color="auto"/>
        <w:right w:val="none" w:sz="0" w:space="0" w:color="auto"/>
      </w:divBdr>
    </w:div>
    <w:div w:id="448210782">
      <w:bodyDiv w:val="1"/>
      <w:marLeft w:val="0"/>
      <w:marRight w:val="0"/>
      <w:marTop w:val="0"/>
      <w:marBottom w:val="0"/>
      <w:divBdr>
        <w:top w:val="none" w:sz="0" w:space="0" w:color="auto"/>
        <w:left w:val="none" w:sz="0" w:space="0" w:color="auto"/>
        <w:bottom w:val="none" w:sz="0" w:space="0" w:color="auto"/>
        <w:right w:val="none" w:sz="0" w:space="0" w:color="auto"/>
      </w:divBdr>
    </w:div>
    <w:div w:id="450053336">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14046117">
      <w:bodyDiv w:val="1"/>
      <w:marLeft w:val="0"/>
      <w:marRight w:val="0"/>
      <w:marTop w:val="0"/>
      <w:marBottom w:val="0"/>
      <w:divBdr>
        <w:top w:val="none" w:sz="0" w:space="0" w:color="auto"/>
        <w:left w:val="none" w:sz="0" w:space="0" w:color="auto"/>
        <w:bottom w:val="none" w:sz="0" w:space="0" w:color="auto"/>
        <w:right w:val="none" w:sz="0" w:space="0" w:color="auto"/>
      </w:divBdr>
    </w:div>
    <w:div w:id="937830775">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60194135">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279336729">
      <w:bodyDiv w:val="1"/>
      <w:marLeft w:val="0"/>
      <w:marRight w:val="0"/>
      <w:marTop w:val="0"/>
      <w:marBottom w:val="0"/>
      <w:divBdr>
        <w:top w:val="none" w:sz="0" w:space="0" w:color="auto"/>
        <w:left w:val="none" w:sz="0" w:space="0" w:color="auto"/>
        <w:bottom w:val="none" w:sz="0" w:space="0" w:color="auto"/>
        <w:right w:val="none" w:sz="0" w:space="0" w:color="auto"/>
      </w:divBdr>
    </w:div>
    <w:div w:id="1454322757">
      <w:bodyDiv w:val="1"/>
      <w:marLeft w:val="0"/>
      <w:marRight w:val="0"/>
      <w:marTop w:val="0"/>
      <w:marBottom w:val="0"/>
      <w:divBdr>
        <w:top w:val="none" w:sz="0" w:space="0" w:color="auto"/>
        <w:left w:val="none" w:sz="0" w:space="0" w:color="auto"/>
        <w:bottom w:val="none" w:sz="0" w:space="0" w:color="auto"/>
        <w:right w:val="none" w:sz="0" w:space="0" w:color="auto"/>
      </w:divBdr>
    </w:div>
    <w:div w:id="1470514419">
      <w:bodyDiv w:val="1"/>
      <w:marLeft w:val="0"/>
      <w:marRight w:val="0"/>
      <w:marTop w:val="0"/>
      <w:marBottom w:val="0"/>
      <w:divBdr>
        <w:top w:val="none" w:sz="0" w:space="0" w:color="auto"/>
        <w:left w:val="none" w:sz="0" w:space="0" w:color="auto"/>
        <w:bottom w:val="none" w:sz="0" w:space="0" w:color="auto"/>
        <w:right w:val="none" w:sz="0" w:space="0" w:color="auto"/>
      </w:divBdr>
    </w:div>
    <w:div w:id="1641574662">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882669239">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1921789188">
      <w:bodyDiv w:val="1"/>
      <w:marLeft w:val="0"/>
      <w:marRight w:val="0"/>
      <w:marTop w:val="0"/>
      <w:marBottom w:val="0"/>
      <w:divBdr>
        <w:top w:val="none" w:sz="0" w:space="0" w:color="auto"/>
        <w:left w:val="none" w:sz="0" w:space="0" w:color="auto"/>
        <w:bottom w:val="none" w:sz="0" w:space="0" w:color="auto"/>
        <w:right w:val="none" w:sz="0" w:space="0" w:color="auto"/>
      </w:divBdr>
    </w:div>
    <w:div w:id="2065828563">
      <w:bodyDiv w:val="1"/>
      <w:marLeft w:val="0"/>
      <w:marRight w:val="0"/>
      <w:marTop w:val="0"/>
      <w:marBottom w:val="0"/>
      <w:divBdr>
        <w:top w:val="none" w:sz="0" w:space="0" w:color="auto"/>
        <w:left w:val="none" w:sz="0" w:space="0" w:color="auto"/>
        <w:bottom w:val="none" w:sz="0" w:space="0" w:color="auto"/>
        <w:right w:val="none" w:sz="0" w:space="0" w:color="auto"/>
      </w:divBdr>
    </w:div>
    <w:div w:id="21208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16</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58</cp:revision>
  <cp:lastPrinted>2026-05-11T13:30:00Z</cp:lastPrinted>
  <dcterms:created xsi:type="dcterms:W3CDTF">2026-04-02T16:32:00Z</dcterms:created>
  <dcterms:modified xsi:type="dcterms:W3CDTF">2026-05-12T19:09:00Z</dcterms:modified>
</cp:coreProperties>
</file>